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方正小标宋_GBK" w:hAnsi="方正小标宋_GBK" w:eastAsia="方正小标宋_GBK" w:cs="方正小标宋_GBK"/>
          <w:b w:val="0"/>
          <w:bCs w:val="0"/>
          <w:color w:val="auto"/>
          <w:spacing w:val="40"/>
          <w:sz w:val="36"/>
          <w:szCs w:val="36"/>
        </w:rPr>
      </w:pPr>
      <w:r>
        <w:rPr>
          <w:rFonts w:hint="eastAsia" w:ascii="方正小标宋_GBK" w:hAnsi="方正小标宋_GBK" w:eastAsia="方正小标宋_GBK" w:cs="方正小标宋_GBK"/>
          <w:b w:val="0"/>
          <w:bCs w:val="0"/>
          <w:color w:val="auto"/>
          <w:spacing w:val="40"/>
          <w:sz w:val="36"/>
          <w:szCs w:val="36"/>
        </w:rPr>
        <w:t>北京市机关事务管理局</w:t>
      </w:r>
    </w:p>
    <w:p>
      <w:pPr>
        <w:adjustRightInd w:val="0"/>
        <w:snapToGrid w:val="0"/>
        <w:spacing w:after="624" w:afterLines="200" w:line="360" w:lineRule="auto"/>
        <w:jc w:val="center"/>
        <w:rPr>
          <w:rFonts w:hint="eastAsia" w:ascii="方正小标宋_GBK" w:hAnsi="方正小标宋_GBK" w:eastAsia="方正小标宋_GBK" w:cs="方正小标宋_GBK"/>
          <w:b w:val="0"/>
          <w:bCs w:val="0"/>
          <w:color w:val="auto"/>
          <w:sz w:val="36"/>
          <w:szCs w:val="36"/>
        </w:rPr>
      </w:pPr>
      <w:r>
        <w:rPr>
          <w:rFonts w:hint="eastAsia" w:ascii="方正小标宋_GBK" w:hAnsi="方正小标宋_GBK" w:eastAsia="方正小标宋_GBK" w:cs="方正小标宋_GBK"/>
          <w:b w:val="0"/>
          <w:bCs w:val="0"/>
          <w:color w:val="auto"/>
          <w:sz w:val="36"/>
          <w:szCs w:val="36"/>
        </w:rPr>
        <w:t>部门整体绩效评价报告</w:t>
      </w:r>
    </w:p>
    <w:p>
      <w:pPr>
        <w:adjustRightInd w:val="0"/>
        <w:snapToGrid w:val="0"/>
        <w:spacing w:before="312" w:beforeLines="100" w:after="156" w:afterLines="50" w:line="360" w:lineRule="auto"/>
        <w:ind w:firstLine="600" w:firstLineChars="200"/>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rPr>
        <w:t>一、部门概况</w:t>
      </w:r>
    </w:p>
    <w:p>
      <w:pPr>
        <w:adjustRightInd w:val="0"/>
        <w:snapToGrid w:val="0"/>
        <w:spacing w:line="360" w:lineRule="auto"/>
        <w:ind w:firstLine="600" w:firstLineChars="20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（一）机构设置及职责工作任务情况</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根据《中央编办关于设立北京市机关事务管理局的批复》（中央编办复字</w:t>
      </w:r>
      <w:r>
        <w:rPr>
          <w:rFonts w:hint="eastAsia" w:ascii="仿宋" w:hAnsi="仿宋" w:eastAsia="仿宋"/>
          <w:color w:val="auto"/>
          <w:sz w:val="30"/>
          <w:szCs w:val="30"/>
        </w:rPr>
        <w:t>〔</w:t>
      </w:r>
      <w:r>
        <w:rPr>
          <w:rFonts w:hint="eastAsia" w:eastAsia="仿宋"/>
          <w:color w:val="auto"/>
          <w:sz w:val="30"/>
          <w:szCs w:val="30"/>
        </w:rPr>
        <w:t>2018</w:t>
      </w:r>
      <w:r>
        <w:rPr>
          <w:rFonts w:hint="eastAsia" w:ascii="仿宋" w:hAnsi="仿宋" w:eastAsia="仿宋"/>
          <w:color w:val="auto"/>
          <w:sz w:val="30"/>
          <w:szCs w:val="30"/>
        </w:rPr>
        <w:t>〕</w:t>
      </w:r>
      <w:r>
        <w:rPr>
          <w:rFonts w:hint="eastAsia" w:eastAsia="仿宋"/>
          <w:color w:val="auto"/>
          <w:sz w:val="30"/>
          <w:szCs w:val="30"/>
        </w:rPr>
        <w:t>12号）成立北京市机关事务管理局（以下简称：市机关事务局）。主要职责是：贯彻落实国家关于机关事务管理方面的法律法规、规章和政策，研究拟订本市机关事务管理规章制度并组织实施，负责推进本市机关后勤体制改革，承担市级机关事务的管理、服务、保障等相关工作任务，指导区级机关事务管理工作，完成市委、市人大常委会、市政府、市政协交办的其他任务。</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市机关事务局局机关内设处室16个，下属事业单位32个。下设二级预算单位分别为北京市机关事务管理局本级行政、北京市机关事务管理局本级事业、宽沟会议中心、北京会议中心、北京花市服务中心、北京市机关事务管理局文印中心、北京市机关事务管理局雅宝大楼管理处、北京市行政服务中心。</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市机关事务局2</w:t>
      </w:r>
      <w:r>
        <w:rPr>
          <w:rFonts w:eastAsia="仿宋"/>
          <w:color w:val="auto"/>
          <w:sz w:val="30"/>
          <w:szCs w:val="30"/>
        </w:rPr>
        <w:t>021</w:t>
      </w:r>
      <w:r>
        <w:rPr>
          <w:rFonts w:hint="eastAsia" w:eastAsia="仿宋"/>
          <w:color w:val="auto"/>
          <w:sz w:val="30"/>
          <w:szCs w:val="30"/>
        </w:rPr>
        <w:t>年度的主要工作任务为：</w:t>
      </w:r>
    </w:p>
    <w:p>
      <w:pPr>
        <w:adjustRightInd w:val="0"/>
        <w:snapToGrid w:val="0"/>
        <w:spacing w:line="360" w:lineRule="auto"/>
        <w:rPr>
          <w:rFonts w:eastAsia="仿宋"/>
          <w:color w:val="auto"/>
          <w:sz w:val="30"/>
          <w:szCs w:val="30"/>
        </w:rPr>
      </w:pPr>
      <w:r>
        <w:rPr>
          <w:rFonts w:hint="eastAsia" w:eastAsia="仿宋"/>
          <w:color w:val="auto"/>
          <w:sz w:val="30"/>
          <w:szCs w:val="30"/>
        </w:rPr>
        <w:t>　　1.</w:t>
      </w:r>
      <w:r>
        <w:rPr>
          <w:rFonts w:eastAsia="仿宋"/>
          <w:color w:val="auto"/>
          <w:sz w:val="30"/>
          <w:szCs w:val="30"/>
        </w:rPr>
        <w:t xml:space="preserve"> </w:t>
      </w:r>
      <w:r>
        <w:rPr>
          <w:rFonts w:hint="eastAsia" w:eastAsia="仿宋"/>
          <w:color w:val="auto"/>
          <w:sz w:val="30"/>
          <w:szCs w:val="30"/>
        </w:rPr>
        <w:t>全力以赴抓疫情防控。面对突如其来的新冠肺炎疫情，按照各集中办公区“零感染”目标，加强组织领导，紧抓重点人群，织密防控网络，统筹做好疫苗接种和核酸检测工作。</w:t>
      </w:r>
    </w:p>
    <w:p>
      <w:pPr>
        <w:adjustRightInd w:val="0"/>
        <w:snapToGrid w:val="0"/>
        <w:spacing w:line="360" w:lineRule="auto"/>
        <w:rPr>
          <w:rFonts w:eastAsia="仿宋"/>
          <w:color w:val="auto"/>
          <w:sz w:val="30"/>
          <w:szCs w:val="30"/>
        </w:rPr>
      </w:pPr>
      <w:r>
        <w:rPr>
          <w:rFonts w:hint="eastAsia" w:eastAsia="仿宋"/>
          <w:color w:val="auto"/>
          <w:sz w:val="30"/>
          <w:szCs w:val="30"/>
        </w:rPr>
        <w:t>　　2.</w:t>
      </w:r>
      <w:r>
        <w:rPr>
          <w:rFonts w:eastAsia="仿宋"/>
          <w:color w:val="auto"/>
          <w:sz w:val="30"/>
          <w:szCs w:val="30"/>
        </w:rPr>
        <w:t xml:space="preserve"> </w:t>
      </w:r>
      <w:r>
        <w:rPr>
          <w:rFonts w:hint="eastAsia" w:eastAsia="仿宋"/>
          <w:color w:val="auto"/>
          <w:sz w:val="30"/>
          <w:szCs w:val="30"/>
        </w:rPr>
        <w:t>认真做好重大活动和会议服务保障工作。按照“精精益求精、万万无一失”的要求，树立“归零”意识，全力做好全国“两会”、党的十九届五中全会等十余项重大活动、会议的服务保障工作，同时，完善工作机制，有效提升服务保障工作科学化、标准化、规范化水平。</w:t>
      </w:r>
    </w:p>
    <w:p>
      <w:pPr>
        <w:adjustRightInd w:val="0"/>
        <w:snapToGrid w:val="0"/>
        <w:spacing w:line="360" w:lineRule="auto"/>
        <w:rPr>
          <w:rFonts w:eastAsia="仿宋"/>
          <w:color w:val="auto"/>
          <w:sz w:val="30"/>
          <w:szCs w:val="30"/>
        </w:rPr>
      </w:pPr>
      <w:r>
        <w:rPr>
          <w:rFonts w:hint="eastAsia" w:eastAsia="仿宋"/>
          <w:color w:val="auto"/>
          <w:sz w:val="30"/>
          <w:szCs w:val="30"/>
        </w:rPr>
        <w:t>　　3.</w:t>
      </w:r>
      <w:r>
        <w:rPr>
          <w:rFonts w:eastAsia="仿宋"/>
          <w:color w:val="auto"/>
          <w:sz w:val="30"/>
          <w:szCs w:val="30"/>
        </w:rPr>
        <w:t xml:space="preserve"> </w:t>
      </w:r>
      <w:r>
        <w:rPr>
          <w:rFonts w:hint="eastAsia" w:eastAsia="仿宋"/>
          <w:color w:val="auto"/>
          <w:sz w:val="30"/>
          <w:szCs w:val="30"/>
        </w:rPr>
        <w:t>持续深化“一体两翼”发展。加强公务用车、办公用房、国有资产等重点领域的顶层设计，研究制定相关制度标准，进一步形成集中统一管理的新局面。充分发挥信息化支撑作用，升级改造各类管理平台系统。</w:t>
      </w:r>
    </w:p>
    <w:p>
      <w:pPr>
        <w:adjustRightInd w:val="0"/>
        <w:snapToGrid w:val="0"/>
        <w:spacing w:line="360" w:lineRule="auto"/>
        <w:rPr>
          <w:rFonts w:eastAsia="仿宋"/>
          <w:color w:val="auto"/>
          <w:sz w:val="30"/>
          <w:szCs w:val="30"/>
        </w:rPr>
      </w:pPr>
      <w:r>
        <w:rPr>
          <w:rFonts w:hint="eastAsia" w:eastAsia="仿宋"/>
          <w:color w:val="auto"/>
          <w:sz w:val="30"/>
          <w:szCs w:val="30"/>
        </w:rPr>
        <w:t>　　4.</w:t>
      </w:r>
      <w:r>
        <w:rPr>
          <w:rFonts w:eastAsia="仿宋"/>
          <w:color w:val="auto"/>
          <w:sz w:val="30"/>
          <w:szCs w:val="30"/>
        </w:rPr>
        <w:t xml:space="preserve"> </w:t>
      </w:r>
      <w:r>
        <w:rPr>
          <w:rFonts w:hint="eastAsia" w:eastAsia="仿宋"/>
          <w:color w:val="auto"/>
          <w:sz w:val="30"/>
          <w:szCs w:val="30"/>
        </w:rPr>
        <w:t>扎实推进节约型机关建设。严格运行经费支出，强化资源资产集约节约利用，切实推进节水、节电、节粮的节约型机关建设。</w:t>
      </w:r>
    </w:p>
    <w:p>
      <w:pPr>
        <w:adjustRightInd w:val="0"/>
        <w:snapToGrid w:val="0"/>
        <w:spacing w:line="360" w:lineRule="auto"/>
        <w:rPr>
          <w:rFonts w:eastAsia="仿宋"/>
          <w:color w:val="auto"/>
          <w:sz w:val="30"/>
          <w:szCs w:val="30"/>
        </w:rPr>
      </w:pPr>
      <w:r>
        <w:rPr>
          <w:rFonts w:hint="eastAsia" w:eastAsia="仿宋"/>
          <w:color w:val="auto"/>
          <w:sz w:val="30"/>
          <w:szCs w:val="30"/>
        </w:rPr>
        <w:t>　　5.</w:t>
      </w:r>
      <w:r>
        <w:rPr>
          <w:rFonts w:eastAsia="仿宋"/>
          <w:color w:val="auto"/>
          <w:sz w:val="30"/>
          <w:szCs w:val="30"/>
        </w:rPr>
        <w:t xml:space="preserve"> </w:t>
      </w:r>
      <w:r>
        <w:rPr>
          <w:rFonts w:hint="eastAsia" w:eastAsia="仿宋"/>
          <w:color w:val="auto"/>
          <w:sz w:val="30"/>
          <w:szCs w:val="30"/>
        </w:rPr>
        <w:t>切实提高后勤服务保障水平。扎实做好首都核心区应急服务保障平台改造和搬迁入驻、服务保障工作；按照“统分结合”的原则，理顺工作机制，科学履行集中办公区后勤服务职能，提高效能。</w:t>
      </w:r>
    </w:p>
    <w:p>
      <w:pPr>
        <w:adjustRightInd w:val="0"/>
        <w:snapToGrid w:val="0"/>
        <w:spacing w:before="156" w:beforeLines="50" w:line="360" w:lineRule="auto"/>
        <w:ind w:firstLine="600" w:firstLineChars="200"/>
        <w:rPr>
          <w:rFonts w:hint="eastAsia" w:ascii="方正楷体_GBK" w:hAnsi="方正楷体_GBK" w:eastAsia="方正楷体_GBK" w:cs="方正楷体_GBK"/>
          <w:b w:val="0"/>
          <w:bCs w:val="0"/>
          <w:color w:val="auto"/>
          <w:sz w:val="30"/>
          <w:szCs w:val="30"/>
        </w:rPr>
      </w:pPr>
      <w:r>
        <w:rPr>
          <w:rFonts w:hint="eastAsia" w:ascii="方正楷体_GBK" w:hAnsi="方正楷体_GBK" w:eastAsia="方正楷体_GBK" w:cs="方正楷体_GBK"/>
          <w:b w:val="0"/>
          <w:bCs w:val="0"/>
          <w:color w:val="auto"/>
          <w:sz w:val="30"/>
          <w:szCs w:val="30"/>
        </w:rPr>
        <w:t>（二）部门整体绩效目标设立情况</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市机关事务局2</w:t>
      </w:r>
      <w:r>
        <w:rPr>
          <w:rFonts w:eastAsia="仿宋"/>
          <w:color w:val="auto"/>
          <w:sz w:val="30"/>
          <w:szCs w:val="30"/>
        </w:rPr>
        <w:t>021</w:t>
      </w:r>
      <w:r>
        <w:rPr>
          <w:rFonts w:hint="eastAsia" w:eastAsia="仿宋"/>
          <w:color w:val="auto"/>
          <w:sz w:val="30"/>
          <w:szCs w:val="30"/>
        </w:rPr>
        <w:t>年度部门整体绩效目标的设立依据，主要包括《中央编办关于设立北京市机关事务管理局的批复》（中央编办复字</w:t>
      </w:r>
      <w:r>
        <w:rPr>
          <w:rFonts w:hint="eastAsia" w:ascii="仿宋" w:hAnsi="仿宋" w:eastAsia="仿宋"/>
          <w:color w:val="auto"/>
          <w:sz w:val="30"/>
          <w:szCs w:val="30"/>
        </w:rPr>
        <w:t>〔</w:t>
      </w:r>
      <w:r>
        <w:rPr>
          <w:rFonts w:hint="eastAsia" w:eastAsia="仿宋"/>
          <w:color w:val="auto"/>
          <w:sz w:val="30"/>
          <w:szCs w:val="30"/>
        </w:rPr>
        <w:t>2018</w:t>
      </w:r>
      <w:r>
        <w:rPr>
          <w:rFonts w:hint="eastAsia" w:ascii="仿宋" w:hAnsi="仿宋" w:eastAsia="仿宋"/>
          <w:color w:val="auto"/>
          <w:sz w:val="30"/>
          <w:szCs w:val="30"/>
        </w:rPr>
        <w:t>〕</w:t>
      </w:r>
      <w:r>
        <w:rPr>
          <w:rFonts w:hint="eastAsia" w:eastAsia="仿宋"/>
          <w:color w:val="auto"/>
          <w:sz w:val="30"/>
          <w:szCs w:val="30"/>
        </w:rPr>
        <w:t>12号）及部门职责职能，以及市机关事务局202</w:t>
      </w:r>
      <w:r>
        <w:rPr>
          <w:rFonts w:eastAsia="仿宋"/>
          <w:color w:val="auto"/>
          <w:sz w:val="30"/>
          <w:szCs w:val="30"/>
        </w:rPr>
        <w:t>1</w:t>
      </w:r>
      <w:r>
        <w:rPr>
          <w:rFonts w:hint="eastAsia" w:eastAsia="仿宋"/>
          <w:color w:val="auto"/>
          <w:sz w:val="30"/>
          <w:szCs w:val="30"/>
        </w:rPr>
        <w:t>年度的主要工作任务。</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市机关事务局2</w:t>
      </w:r>
      <w:r>
        <w:rPr>
          <w:rFonts w:eastAsia="仿宋"/>
          <w:color w:val="auto"/>
          <w:sz w:val="30"/>
          <w:szCs w:val="30"/>
        </w:rPr>
        <w:t>021</w:t>
      </w:r>
      <w:r>
        <w:rPr>
          <w:rFonts w:hint="eastAsia" w:eastAsia="仿宋"/>
          <w:color w:val="auto"/>
          <w:sz w:val="30"/>
          <w:szCs w:val="30"/>
        </w:rPr>
        <w:t>年度部门整体绩效目标设置与部门职能定位基本相符，部门整体绩效目标对市机关事务局202</w:t>
      </w:r>
      <w:r>
        <w:rPr>
          <w:rFonts w:eastAsia="仿宋"/>
          <w:color w:val="auto"/>
          <w:sz w:val="30"/>
          <w:szCs w:val="30"/>
        </w:rPr>
        <w:t>1</w:t>
      </w:r>
      <w:r>
        <w:rPr>
          <w:rFonts w:hint="eastAsia" w:eastAsia="仿宋"/>
          <w:color w:val="auto"/>
          <w:sz w:val="30"/>
          <w:szCs w:val="30"/>
        </w:rPr>
        <w:t>年度计划重点工作内容体现较为全面，具体如下：</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1. 着力提高系统保障能力。根据市机关事务管理局及所属事业单位职能职责，坚持新发展理念，锐意改革创新，按照高质量发展要求，结合我局实际工作需要，确定部门年度重点工作。</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 着力推进机关后勤服务标准化建设。积极履职尽责，高质量完成市级机关集中办公区后勤服务保障工作、统筹管理办公用房用地。</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3. 高质量完成接待联络工作。全面做好来京内、外宾接待服务和中央在京重要会议活动的服务保障工作、</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4.着力提升信息化建设水平。持续深入推进市级机关信息化应用规划和建设工作，不断完善全市机关事务管理信息化顶层设计及制度，助力北京市机关事务管理工作高效、顺利开展。</w:t>
      </w:r>
    </w:p>
    <w:p>
      <w:pPr>
        <w:adjustRightInd w:val="0"/>
        <w:snapToGrid w:val="0"/>
        <w:spacing w:before="312" w:beforeLines="100" w:after="156" w:afterLines="50" w:line="360" w:lineRule="auto"/>
        <w:ind w:firstLine="600" w:firstLineChars="200"/>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rPr>
        <w:t>二、当年预算执行情况</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2</w:t>
      </w:r>
      <w:r>
        <w:rPr>
          <w:rFonts w:eastAsia="仿宋"/>
          <w:color w:val="auto"/>
          <w:kern w:val="0"/>
          <w:sz w:val="30"/>
          <w:szCs w:val="30"/>
        </w:rPr>
        <w:t>021</w:t>
      </w:r>
      <w:r>
        <w:rPr>
          <w:rFonts w:hint="eastAsia" w:eastAsia="仿宋"/>
          <w:color w:val="auto"/>
          <w:kern w:val="0"/>
          <w:sz w:val="30"/>
          <w:szCs w:val="30"/>
        </w:rPr>
        <w:t>年，市机关事务局</w:t>
      </w:r>
      <w:r>
        <w:rPr>
          <w:rFonts w:eastAsia="仿宋"/>
          <w:color w:val="auto"/>
          <w:kern w:val="0"/>
          <w:sz w:val="30"/>
          <w:szCs w:val="30"/>
        </w:rPr>
        <w:t>全年</w:t>
      </w:r>
      <w:r>
        <w:rPr>
          <w:rFonts w:hint="eastAsia" w:eastAsia="仿宋"/>
          <w:color w:val="auto"/>
          <w:kern w:val="0"/>
          <w:sz w:val="30"/>
          <w:szCs w:val="30"/>
          <w:lang w:eastAsia="zh-CN"/>
        </w:rPr>
        <w:t>年初</w:t>
      </w:r>
      <w:r>
        <w:rPr>
          <w:rFonts w:eastAsia="仿宋"/>
          <w:color w:val="auto"/>
          <w:kern w:val="0"/>
          <w:sz w:val="30"/>
          <w:szCs w:val="30"/>
        </w:rPr>
        <w:t>预算数2</w:t>
      </w:r>
      <w:r>
        <w:rPr>
          <w:rFonts w:hint="default" w:eastAsia="仿宋"/>
          <w:color w:val="auto"/>
          <w:kern w:val="0"/>
          <w:sz w:val="30"/>
          <w:szCs w:val="30"/>
          <w:lang w:val="en"/>
        </w:rPr>
        <w:t>51</w:t>
      </w:r>
      <w:r>
        <w:rPr>
          <w:rFonts w:eastAsia="仿宋"/>
          <w:color w:val="auto"/>
          <w:kern w:val="0"/>
          <w:sz w:val="30"/>
          <w:szCs w:val="30"/>
        </w:rPr>
        <w:t>,</w:t>
      </w:r>
      <w:r>
        <w:rPr>
          <w:rFonts w:hint="default" w:eastAsia="仿宋"/>
          <w:color w:val="auto"/>
          <w:kern w:val="0"/>
          <w:sz w:val="30"/>
          <w:szCs w:val="30"/>
          <w:lang w:val="en"/>
        </w:rPr>
        <w:t>088</w:t>
      </w:r>
      <w:r>
        <w:rPr>
          <w:rFonts w:eastAsia="仿宋"/>
          <w:color w:val="auto"/>
          <w:kern w:val="0"/>
          <w:sz w:val="30"/>
          <w:szCs w:val="30"/>
        </w:rPr>
        <w:t>.3</w:t>
      </w:r>
      <w:r>
        <w:rPr>
          <w:rFonts w:hint="default" w:eastAsia="仿宋"/>
          <w:color w:val="auto"/>
          <w:kern w:val="0"/>
          <w:sz w:val="30"/>
          <w:szCs w:val="30"/>
          <w:lang w:val="en"/>
        </w:rPr>
        <w:t>4</w:t>
      </w:r>
      <w:r>
        <w:rPr>
          <w:rFonts w:eastAsia="仿宋"/>
          <w:color w:val="auto"/>
          <w:kern w:val="0"/>
          <w:sz w:val="30"/>
          <w:szCs w:val="30"/>
        </w:rPr>
        <w:t>万元，其中</w:t>
      </w:r>
      <w:r>
        <w:rPr>
          <w:rFonts w:hint="eastAsia" w:eastAsia="仿宋"/>
          <w:color w:val="auto"/>
          <w:kern w:val="0"/>
          <w:sz w:val="30"/>
          <w:szCs w:val="30"/>
        </w:rPr>
        <w:t>：</w:t>
      </w:r>
      <w:r>
        <w:rPr>
          <w:rFonts w:hint="eastAsia" w:eastAsia="仿宋"/>
          <w:color w:val="auto"/>
          <w:sz w:val="30"/>
          <w:szCs w:val="30"/>
        </w:rPr>
        <w:t>基本支出预算数</w:t>
      </w:r>
      <w:r>
        <w:rPr>
          <w:rFonts w:eastAsia="仿宋"/>
          <w:color w:val="auto"/>
          <w:kern w:val="0"/>
          <w:sz w:val="30"/>
          <w:szCs w:val="30"/>
        </w:rPr>
        <w:t>8</w:t>
      </w:r>
      <w:r>
        <w:rPr>
          <w:rFonts w:hint="eastAsia" w:eastAsia="仿宋"/>
          <w:color w:val="auto"/>
          <w:kern w:val="0"/>
          <w:sz w:val="30"/>
          <w:szCs w:val="30"/>
          <w:lang w:val="en-US" w:eastAsia="zh-CN"/>
        </w:rPr>
        <w:t>9</w:t>
      </w:r>
      <w:r>
        <w:rPr>
          <w:rFonts w:eastAsia="仿宋"/>
          <w:color w:val="auto"/>
          <w:kern w:val="0"/>
          <w:sz w:val="30"/>
          <w:szCs w:val="30"/>
        </w:rPr>
        <w:t>,6</w:t>
      </w:r>
      <w:r>
        <w:rPr>
          <w:rFonts w:hint="eastAsia" w:eastAsia="仿宋"/>
          <w:color w:val="auto"/>
          <w:kern w:val="0"/>
          <w:sz w:val="30"/>
          <w:szCs w:val="30"/>
          <w:lang w:val="en-US" w:eastAsia="zh-CN"/>
        </w:rPr>
        <w:t>19</w:t>
      </w:r>
      <w:r>
        <w:rPr>
          <w:rFonts w:eastAsia="仿宋"/>
          <w:color w:val="auto"/>
          <w:kern w:val="0"/>
          <w:sz w:val="30"/>
          <w:szCs w:val="30"/>
        </w:rPr>
        <w:t>.</w:t>
      </w:r>
      <w:r>
        <w:rPr>
          <w:rFonts w:hint="eastAsia" w:eastAsia="仿宋"/>
          <w:color w:val="auto"/>
          <w:kern w:val="0"/>
          <w:sz w:val="30"/>
          <w:szCs w:val="30"/>
          <w:lang w:val="en-US" w:eastAsia="zh-CN"/>
        </w:rPr>
        <w:t>99</w:t>
      </w:r>
      <w:r>
        <w:rPr>
          <w:rFonts w:hint="eastAsia" w:eastAsia="仿宋"/>
          <w:color w:val="auto"/>
          <w:sz w:val="30"/>
          <w:szCs w:val="30"/>
        </w:rPr>
        <w:t>万元、项目支出预算数</w:t>
      </w:r>
      <w:r>
        <w:rPr>
          <w:rFonts w:eastAsia="仿宋"/>
          <w:color w:val="auto"/>
          <w:sz w:val="30"/>
          <w:szCs w:val="30"/>
        </w:rPr>
        <w:t>11</w:t>
      </w:r>
      <w:r>
        <w:rPr>
          <w:rFonts w:hint="eastAsia" w:eastAsia="仿宋"/>
          <w:color w:val="auto"/>
          <w:sz w:val="30"/>
          <w:szCs w:val="30"/>
          <w:lang w:val="en-US" w:eastAsia="zh-CN"/>
        </w:rPr>
        <w:t>0</w:t>
      </w:r>
      <w:r>
        <w:rPr>
          <w:rFonts w:eastAsia="仿宋"/>
          <w:color w:val="auto"/>
          <w:sz w:val="30"/>
          <w:szCs w:val="30"/>
        </w:rPr>
        <w:t>,</w:t>
      </w:r>
      <w:r>
        <w:rPr>
          <w:rFonts w:hint="eastAsia" w:eastAsia="仿宋"/>
          <w:color w:val="auto"/>
          <w:sz w:val="30"/>
          <w:szCs w:val="30"/>
          <w:lang w:val="en-US" w:eastAsia="zh-CN"/>
        </w:rPr>
        <w:t>022</w:t>
      </w:r>
      <w:r>
        <w:rPr>
          <w:rFonts w:eastAsia="仿宋"/>
          <w:color w:val="auto"/>
          <w:sz w:val="30"/>
          <w:szCs w:val="30"/>
        </w:rPr>
        <w:t>.</w:t>
      </w:r>
      <w:r>
        <w:rPr>
          <w:rFonts w:hint="eastAsia" w:eastAsia="仿宋"/>
          <w:color w:val="auto"/>
          <w:sz w:val="30"/>
          <w:szCs w:val="30"/>
          <w:lang w:val="en-US" w:eastAsia="zh-CN"/>
        </w:rPr>
        <w:t>67</w:t>
      </w:r>
      <w:r>
        <w:rPr>
          <w:rFonts w:hint="eastAsia" w:eastAsia="仿宋"/>
          <w:color w:val="auto"/>
          <w:sz w:val="30"/>
          <w:szCs w:val="30"/>
        </w:rPr>
        <w:t>万元、经营支出预算数</w:t>
      </w:r>
      <w:r>
        <w:rPr>
          <w:rFonts w:hint="eastAsia" w:eastAsia="仿宋"/>
          <w:color w:val="auto"/>
          <w:sz w:val="30"/>
          <w:szCs w:val="30"/>
          <w:lang w:val="en-US" w:eastAsia="zh-CN"/>
        </w:rPr>
        <w:t>51</w:t>
      </w:r>
      <w:r>
        <w:rPr>
          <w:rFonts w:eastAsia="仿宋"/>
          <w:color w:val="auto"/>
          <w:sz w:val="30"/>
          <w:szCs w:val="30"/>
        </w:rPr>
        <w:t>,</w:t>
      </w:r>
      <w:r>
        <w:rPr>
          <w:rFonts w:hint="eastAsia" w:eastAsia="仿宋"/>
          <w:color w:val="auto"/>
          <w:sz w:val="30"/>
          <w:szCs w:val="30"/>
          <w:lang w:val="en-US" w:eastAsia="zh-CN"/>
        </w:rPr>
        <w:t>445</w:t>
      </w:r>
      <w:r>
        <w:rPr>
          <w:rFonts w:eastAsia="仿宋"/>
          <w:color w:val="auto"/>
          <w:sz w:val="30"/>
          <w:szCs w:val="30"/>
        </w:rPr>
        <w:t>.</w:t>
      </w:r>
      <w:r>
        <w:rPr>
          <w:rFonts w:hint="eastAsia" w:eastAsia="仿宋"/>
          <w:color w:val="auto"/>
          <w:sz w:val="30"/>
          <w:szCs w:val="30"/>
          <w:lang w:val="en-US" w:eastAsia="zh-CN"/>
        </w:rPr>
        <w:t>68</w:t>
      </w:r>
      <w:r>
        <w:rPr>
          <w:rFonts w:hint="eastAsia" w:eastAsia="仿宋"/>
          <w:color w:val="auto"/>
          <w:sz w:val="30"/>
          <w:szCs w:val="30"/>
        </w:rPr>
        <w:t>万元</w:t>
      </w:r>
      <w:r>
        <w:rPr>
          <w:rFonts w:eastAsia="仿宋"/>
          <w:color w:val="auto"/>
          <w:kern w:val="0"/>
          <w:sz w:val="30"/>
          <w:szCs w:val="30"/>
        </w:rPr>
        <w:t>。资金总体支出</w:t>
      </w:r>
      <w:r>
        <w:rPr>
          <w:rFonts w:hint="eastAsia" w:eastAsia="仿宋"/>
          <w:color w:val="auto"/>
          <w:kern w:val="0"/>
          <w:sz w:val="30"/>
          <w:szCs w:val="30"/>
        </w:rPr>
        <w:t>实际数</w:t>
      </w:r>
      <w:r>
        <w:rPr>
          <w:rFonts w:eastAsia="仿宋"/>
          <w:color w:val="auto"/>
          <w:kern w:val="0"/>
          <w:sz w:val="30"/>
          <w:szCs w:val="30"/>
        </w:rPr>
        <w:t>251,990.06万元，其中，基本支出</w:t>
      </w:r>
      <w:r>
        <w:rPr>
          <w:rFonts w:hint="eastAsia" w:eastAsia="仿宋"/>
          <w:color w:val="auto"/>
          <w:kern w:val="0"/>
          <w:sz w:val="30"/>
          <w:szCs w:val="30"/>
        </w:rPr>
        <w:t>实际数</w:t>
      </w:r>
      <w:r>
        <w:rPr>
          <w:rFonts w:eastAsia="仿宋"/>
          <w:color w:val="auto"/>
          <w:kern w:val="0"/>
          <w:sz w:val="30"/>
          <w:szCs w:val="30"/>
        </w:rPr>
        <w:t>82,890.43万元，项目支出</w:t>
      </w:r>
      <w:r>
        <w:rPr>
          <w:rFonts w:hint="eastAsia" w:eastAsia="仿宋"/>
          <w:color w:val="auto"/>
          <w:kern w:val="0"/>
          <w:sz w:val="30"/>
          <w:szCs w:val="30"/>
        </w:rPr>
        <w:t>实际数</w:t>
      </w:r>
      <w:r>
        <w:rPr>
          <w:rFonts w:eastAsia="仿宋"/>
          <w:color w:val="auto"/>
          <w:kern w:val="0"/>
          <w:sz w:val="30"/>
          <w:szCs w:val="30"/>
        </w:rPr>
        <w:t>110,329.20万元，</w:t>
      </w:r>
      <w:r>
        <w:rPr>
          <w:rFonts w:hint="eastAsia" w:eastAsia="仿宋"/>
          <w:color w:val="auto"/>
          <w:sz w:val="30"/>
          <w:szCs w:val="30"/>
        </w:rPr>
        <w:t>经营支出</w:t>
      </w:r>
      <w:r>
        <w:rPr>
          <w:rFonts w:hint="eastAsia" w:eastAsia="仿宋"/>
          <w:color w:val="auto"/>
          <w:kern w:val="0"/>
          <w:sz w:val="30"/>
          <w:szCs w:val="30"/>
        </w:rPr>
        <w:t>实际数</w:t>
      </w:r>
      <w:r>
        <w:rPr>
          <w:rFonts w:eastAsia="仿宋"/>
          <w:color w:val="auto"/>
          <w:kern w:val="0"/>
          <w:sz w:val="30"/>
          <w:szCs w:val="30"/>
        </w:rPr>
        <w:t>58,770.44万元。全年</w:t>
      </w:r>
      <w:r>
        <w:rPr>
          <w:rFonts w:hint="eastAsia" w:eastAsia="仿宋"/>
          <w:color w:val="auto"/>
          <w:kern w:val="0"/>
          <w:sz w:val="30"/>
          <w:szCs w:val="30"/>
          <w:lang w:eastAsia="zh-CN"/>
        </w:rPr>
        <w:t>调整</w:t>
      </w:r>
      <w:r>
        <w:rPr>
          <w:rFonts w:eastAsia="仿宋"/>
          <w:color w:val="auto"/>
          <w:kern w:val="0"/>
          <w:sz w:val="30"/>
          <w:szCs w:val="30"/>
        </w:rPr>
        <w:t>预算数</w:t>
      </w:r>
      <w:r>
        <w:rPr>
          <w:rFonts w:hint="eastAsia" w:eastAsia="仿宋"/>
          <w:color w:val="auto"/>
          <w:kern w:val="0"/>
          <w:sz w:val="30"/>
          <w:szCs w:val="30"/>
          <w:lang w:val="en-US" w:eastAsia="zh-CN"/>
        </w:rPr>
        <w:t>266</w:t>
      </w:r>
      <w:r>
        <w:rPr>
          <w:rFonts w:hint="default" w:eastAsia="仿宋"/>
          <w:color w:val="auto"/>
          <w:kern w:val="0"/>
          <w:sz w:val="30"/>
          <w:szCs w:val="30"/>
          <w:lang w:val="en" w:eastAsia="zh-CN"/>
        </w:rPr>
        <w:t>,</w:t>
      </w:r>
      <w:r>
        <w:rPr>
          <w:rFonts w:hint="eastAsia" w:eastAsia="仿宋"/>
          <w:color w:val="auto"/>
          <w:kern w:val="0"/>
          <w:sz w:val="30"/>
          <w:szCs w:val="30"/>
          <w:lang w:val="en-US" w:eastAsia="zh-CN"/>
        </w:rPr>
        <w:t>8</w:t>
      </w:r>
      <w:r>
        <w:rPr>
          <w:rFonts w:hint="default" w:eastAsia="仿宋"/>
          <w:color w:val="auto"/>
          <w:kern w:val="0"/>
          <w:sz w:val="30"/>
          <w:szCs w:val="30"/>
          <w:lang w:val="en" w:eastAsia="zh-CN"/>
        </w:rPr>
        <w:t>53.29</w:t>
      </w:r>
      <w:r>
        <w:rPr>
          <w:rFonts w:hint="eastAsia" w:eastAsia="仿宋"/>
          <w:color w:val="auto"/>
          <w:kern w:val="0"/>
          <w:sz w:val="30"/>
          <w:szCs w:val="30"/>
          <w:lang w:val="en" w:eastAsia="zh-CN"/>
        </w:rPr>
        <w:t>万元</w:t>
      </w:r>
      <w:r>
        <w:rPr>
          <w:rFonts w:hint="eastAsia" w:eastAsia="仿宋"/>
          <w:color w:val="auto"/>
          <w:kern w:val="0"/>
          <w:sz w:val="30"/>
          <w:szCs w:val="30"/>
          <w:lang w:eastAsia="zh-CN"/>
        </w:rPr>
        <w:t>，</w:t>
      </w:r>
      <w:r>
        <w:rPr>
          <w:rFonts w:eastAsia="仿宋"/>
          <w:color w:val="auto"/>
          <w:kern w:val="0"/>
          <w:sz w:val="30"/>
          <w:szCs w:val="30"/>
        </w:rPr>
        <w:t>预算执行率为94</w:t>
      </w:r>
      <w:r>
        <w:rPr>
          <w:rFonts w:hint="eastAsia" w:eastAsia="仿宋"/>
          <w:color w:val="auto"/>
          <w:kern w:val="0"/>
          <w:sz w:val="30"/>
          <w:szCs w:val="30"/>
        </w:rPr>
        <w:t>.</w:t>
      </w:r>
      <w:r>
        <w:rPr>
          <w:rFonts w:hint="eastAsia" w:eastAsia="仿宋"/>
          <w:color w:val="auto"/>
          <w:kern w:val="0"/>
          <w:sz w:val="30"/>
          <w:szCs w:val="30"/>
          <w:lang w:val="en-US" w:eastAsia="zh-CN"/>
        </w:rPr>
        <w:t>43</w:t>
      </w:r>
      <w:r>
        <w:rPr>
          <w:rFonts w:eastAsia="仿宋"/>
          <w:color w:val="auto"/>
          <w:kern w:val="0"/>
          <w:sz w:val="30"/>
          <w:szCs w:val="30"/>
        </w:rPr>
        <w:t>%。</w:t>
      </w:r>
    </w:p>
    <w:p>
      <w:pPr>
        <w:adjustRightInd w:val="0"/>
        <w:snapToGrid w:val="0"/>
        <w:spacing w:before="312" w:beforeLines="100" w:after="156" w:afterLines="50" w:line="360" w:lineRule="auto"/>
        <w:ind w:firstLine="450" w:firstLineChars="150"/>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rPr>
        <w:t>三、整体绩效目标实现情况</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2021年，市机关事务局在市委市政府坚强领导下，始终坚持以习近平新时代中国特色社会主义思想为指导，深入贯彻党的十九大和十九届历次全会精神，深入贯彻习近平总书记对北京一系列重要讲话精神，深刻认识“两个确立”的决定性意义，增强“四个意识”、坚定“四个自信”、做到“两个维护”，认真落实市委市政府各项决策部署，按照年初确定的“理机构、抓队伍、立标准、开新局”目标，着力提高系统保障能力，继续推进机关后勤服务标准化建设，市级机关办公用房、公务用车管理高效集约，高质量高标准完成北京市重大会议和在京外事活动的相关联络及服务保障工作，扎实推进市级机关事务管理信息化建设，各项工作取得新进展、新成效。</w:t>
      </w:r>
    </w:p>
    <w:p>
      <w:pPr>
        <w:adjustRightInd w:val="0"/>
        <w:snapToGrid w:val="0"/>
        <w:spacing w:before="156" w:beforeLines="50" w:line="360" w:lineRule="auto"/>
        <w:ind w:firstLine="600" w:firstLineChars="200"/>
        <w:rPr>
          <w:rFonts w:hint="eastAsia" w:ascii="方正楷体_GBK" w:hAnsi="方正楷体_GBK" w:eastAsia="方正楷体_GBK" w:cs="方正楷体_GBK"/>
          <w:b w:val="0"/>
          <w:bCs w:val="0"/>
          <w:color w:val="auto"/>
          <w:sz w:val="30"/>
          <w:szCs w:val="30"/>
        </w:rPr>
      </w:pPr>
      <w:r>
        <w:rPr>
          <w:rFonts w:hint="eastAsia" w:ascii="方正楷体_GBK" w:hAnsi="方正楷体_GBK" w:eastAsia="方正楷体_GBK" w:cs="方正楷体_GBK"/>
          <w:b w:val="0"/>
          <w:bCs w:val="0"/>
          <w:color w:val="auto"/>
          <w:sz w:val="30"/>
          <w:szCs w:val="30"/>
        </w:rPr>
        <w:t>（一）产出完成情况分析</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1.</w:t>
      </w:r>
      <w:r>
        <w:rPr>
          <w:rFonts w:eastAsia="仿宋"/>
          <w:b w:val="0"/>
          <w:bCs w:val="0"/>
          <w:color w:val="auto"/>
          <w:sz w:val="30"/>
          <w:szCs w:val="30"/>
        </w:rPr>
        <w:t xml:space="preserve"> </w:t>
      </w:r>
      <w:r>
        <w:rPr>
          <w:rFonts w:hint="eastAsia" w:eastAsia="仿宋"/>
          <w:b w:val="0"/>
          <w:bCs w:val="0"/>
          <w:color w:val="auto"/>
          <w:sz w:val="30"/>
          <w:szCs w:val="30"/>
        </w:rPr>
        <w:t>产出数量</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w:t>
      </w:r>
      <w:r>
        <w:rPr>
          <w:rFonts w:eastAsia="仿宋"/>
          <w:color w:val="auto"/>
          <w:sz w:val="30"/>
          <w:szCs w:val="30"/>
        </w:rPr>
        <w:t>021</w:t>
      </w:r>
      <w:r>
        <w:rPr>
          <w:rFonts w:hint="eastAsia" w:eastAsia="仿宋"/>
          <w:color w:val="auto"/>
          <w:sz w:val="30"/>
          <w:szCs w:val="30"/>
        </w:rPr>
        <w:t>年度全力以赴抓重点任务落实，圆满完成各项重点项目，包括2个重点项目市级机关集中办公区后勤服务保障；2个重点项目市级机关办公用房、公务用车管理；2个重点接待联络及服务保障项目；4个重点信息化项目。</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2.</w:t>
      </w:r>
      <w:r>
        <w:rPr>
          <w:rFonts w:eastAsia="仿宋"/>
          <w:b w:val="0"/>
          <w:bCs w:val="0"/>
          <w:color w:val="auto"/>
          <w:sz w:val="30"/>
          <w:szCs w:val="30"/>
        </w:rPr>
        <w:t xml:space="preserve"> </w:t>
      </w:r>
      <w:r>
        <w:rPr>
          <w:rFonts w:hint="eastAsia" w:eastAsia="仿宋"/>
          <w:b w:val="0"/>
          <w:bCs w:val="0"/>
          <w:color w:val="auto"/>
          <w:sz w:val="30"/>
          <w:szCs w:val="30"/>
        </w:rPr>
        <w:t>产出质量</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抓管理重服务，通过定期和不定期考评的方式促进各项管理服务质量不断提高，为市级机关集中办公区提供优质的标准化机关后勤事务管理服务。</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3.</w:t>
      </w:r>
      <w:r>
        <w:rPr>
          <w:rFonts w:eastAsia="仿宋"/>
          <w:b w:val="0"/>
          <w:bCs w:val="0"/>
          <w:color w:val="auto"/>
          <w:sz w:val="30"/>
          <w:szCs w:val="30"/>
        </w:rPr>
        <w:t xml:space="preserve"> </w:t>
      </w:r>
      <w:r>
        <w:rPr>
          <w:rFonts w:hint="eastAsia" w:eastAsia="仿宋"/>
          <w:b w:val="0"/>
          <w:bCs w:val="0"/>
          <w:color w:val="auto"/>
          <w:sz w:val="30"/>
          <w:szCs w:val="30"/>
        </w:rPr>
        <w:t>产出进度</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按照2</w:t>
      </w:r>
      <w:r>
        <w:rPr>
          <w:rFonts w:eastAsia="仿宋"/>
          <w:color w:val="auto"/>
          <w:sz w:val="30"/>
          <w:szCs w:val="30"/>
        </w:rPr>
        <w:t>021</w:t>
      </w:r>
      <w:r>
        <w:rPr>
          <w:rFonts w:hint="eastAsia" w:eastAsia="仿宋"/>
          <w:color w:val="auto"/>
          <w:sz w:val="30"/>
          <w:szCs w:val="30"/>
        </w:rPr>
        <w:t>年度主要工作任务和重点项目计划进度安排，全力以赴抓重点任务落实，细化实施方案，统筹调度，有序实施，扎实推进，如期完成。例如：圆满完成本市庆祝中国共产党成立100周年活动领导小组及各专班的车辆、办公、用餐、住宿、疫情防控等保障任务。出色完成全国“两会”、党的十九届六中全会、全国脱贫攻坚表彰大会、全国“两优一先”表彰大会、中央经济工作会议、中关村论坛、服贸会等23次中央在京重要会议、重大活动的服务保障任务。在完成A5、C6建设、查验接收、物业单位提前进驻服务等工作的基础上，与各搬迁单位深入对接，研究制定搬迁工作方案，科学规划搬迁时序和搬迁路线，并于2021年12月10日至12日，按照城区单位夜间搬迁不扰民的要求，组织搬迁184车次，平稳有序完成市重大项目办、市信访办、市副中心工程办等3家单位搬迁工作。</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4.</w:t>
      </w:r>
      <w:r>
        <w:rPr>
          <w:rFonts w:eastAsia="仿宋"/>
          <w:b w:val="0"/>
          <w:bCs w:val="0"/>
          <w:color w:val="auto"/>
          <w:sz w:val="30"/>
          <w:szCs w:val="30"/>
        </w:rPr>
        <w:t xml:space="preserve"> </w:t>
      </w:r>
      <w:r>
        <w:rPr>
          <w:rFonts w:hint="eastAsia" w:eastAsia="仿宋"/>
          <w:b w:val="0"/>
          <w:bCs w:val="0"/>
          <w:color w:val="auto"/>
          <w:sz w:val="30"/>
          <w:szCs w:val="30"/>
        </w:rPr>
        <w:t xml:space="preserve">产出成本 </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严格按照全年</w:t>
      </w:r>
      <w:r>
        <w:rPr>
          <w:rFonts w:hint="eastAsia" w:eastAsia="仿宋"/>
          <w:color w:val="auto"/>
          <w:sz w:val="30"/>
          <w:szCs w:val="30"/>
          <w:lang w:eastAsia="zh-CN"/>
        </w:rPr>
        <w:t>调整</w:t>
      </w:r>
      <w:r>
        <w:rPr>
          <w:rFonts w:hint="eastAsia" w:eastAsia="仿宋"/>
          <w:color w:val="auto"/>
          <w:sz w:val="30"/>
          <w:szCs w:val="30"/>
        </w:rPr>
        <w:t>预算数</w:t>
      </w:r>
      <w:r>
        <w:rPr>
          <w:rFonts w:hint="eastAsia" w:eastAsia="仿宋"/>
          <w:color w:val="auto"/>
          <w:kern w:val="0"/>
          <w:sz w:val="30"/>
          <w:szCs w:val="30"/>
          <w:lang w:val="en-US" w:eastAsia="zh-CN"/>
        </w:rPr>
        <w:t>266</w:t>
      </w:r>
      <w:r>
        <w:rPr>
          <w:rFonts w:hint="default" w:eastAsia="仿宋"/>
          <w:color w:val="auto"/>
          <w:kern w:val="0"/>
          <w:sz w:val="30"/>
          <w:szCs w:val="30"/>
          <w:lang w:val="en" w:eastAsia="zh-CN"/>
        </w:rPr>
        <w:t>,</w:t>
      </w:r>
      <w:r>
        <w:rPr>
          <w:rFonts w:hint="eastAsia" w:eastAsia="仿宋"/>
          <w:color w:val="auto"/>
          <w:kern w:val="0"/>
          <w:sz w:val="30"/>
          <w:szCs w:val="30"/>
          <w:lang w:val="en-US" w:eastAsia="zh-CN"/>
        </w:rPr>
        <w:t>8</w:t>
      </w:r>
      <w:r>
        <w:rPr>
          <w:rFonts w:hint="default" w:eastAsia="仿宋"/>
          <w:color w:val="auto"/>
          <w:kern w:val="0"/>
          <w:sz w:val="30"/>
          <w:szCs w:val="30"/>
          <w:lang w:val="en" w:eastAsia="zh-CN"/>
        </w:rPr>
        <w:t>53.29</w:t>
      </w:r>
      <w:r>
        <w:rPr>
          <w:rFonts w:hint="eastAsia" w:eastAsia="仿宋"/>
          <w:color w:val="auto"/>
          <w:sz w:val="30"/>
          <w:szCs w:val="30"/>
        </w:rPr>
        <w:t>万元控制各项支出，细化各项开支标准和范围，全年无超预算发生，实现产出成本预期目标。</w:t>
      </w:r>
      <w:r>
        <w:rPr>
          <w:rFonts w:eastAsia="仿宋"/>
          <w:color w:val="auto"/>
          <w:sz w:val="30"/>
          <w:szCs w:val="30"/>
        </w:rPr>
        <w:t xml:space="preserve"> </w:t>
      </w:r>
      <w:r>
        <w:rPr>
          <w:rFonts w:hint="eastAsia" w:eastAsia="仿宋"/>
          <w:color w:val="auto"/>
          <w:sz w:val="30"/>
          <w:szCs w:val="30"/>
        </w:rPr>
        <w:t xml:space="preserve">                                    </w:t>
      </w:r>
    </w:p>
    <w:p>
      <w:pPr>
        <w:adjustRightInd w:val="0"/>
        <w:snapToGrid w:val="0"/>
        <w:spacing w:before="156" w:beforeLines="50" w:line="360" w:lineRule="auto"/>
        <w:ind w:firstLine="600" w:firstLineChars="200"/>
        <w:rPr>
          <w:rFonts w:hint="eastAsia" w:ascii="方正楷体_GBK" w:hAnsi="方正楷体_GBK" w:eastAsia="方正楷体_GBK" w:cs="方正楷体_GBK"/>
          <w:b w:val="0"/>
          <w:bCs w:val="0"/>
          <w:color w:val="auto"/>
          <w:sz w:val="30"/>
          <w:szCs w:val="30"/>
        </w:rPr>
      </w:pPr>
      <w:r>
        <w:rPr>
          <w:rFonts w:hint="eastAsia" w:ascii="方正楷体_GBK" w:hAnsi="方正楷体_GBK" w:eastAsia="方正楷体_GBK" w:cs="方正楷体_GBK"/>
          <w:b w:val="0"/>
          <w:bCs w:val="0"/>
          <w:color w:val="auto"/>
          <w:sz w:val="30"/>
          <w:szCs w:val="30"/>
        </w:rPr>
        <w:t>（二）效果实现情况分析</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1.</w:t>
      </w:r>
      <w:r>
        <w:rPr>
          <w:rFonts w:eastAsia="仿宋"/>
          <w:b w:val="0"/>
          <w:bCs w:val="0"/>
          <w:color w:val="auto"/>
          <w:sz w:val="30"/>
          <w:szCs w:val="30"/>
        </w:rPr>
        <w:t xml:space="preserve"> </w:t>
      </w:r>
      <w:r>
        <w:rPr>
          <w:rFonts w:hint="eastAsia" w:eastAsia="仿宋"/>
          <w:b w:val="0"/>
          <w:bCs w:val="0"/>
          <w:color w:val="auto"/>
          <w:sz w:val="30"/>
          <w:szCs w:val="30"/>
        </w:rPr>
        <w:t>经济效益</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提升经费保障效率，全年完成部门财政拨款预算支出</w:t>
      </w:r>
      <w:r>
        <w:rPr>
          <w:rFonts w:hint="eastAsia" w:eastAsia="仿宋"/>
          <w:color w:val="auto"/>
          <w:kern w:val="0"/>
          <w:sz w:val="30"/>
          <w:szCs w:val="30"/>
          <w:lang w:val="en-US" w:eastAsia="zh-CN"/>
        </w:rPr>
        <w:t>19</w:t>
      </w:r>
      <w:r>
        <w:rPr>
          <w:rFonts w:hint="default" w:eastAsia="仿宋"/>
          <w:color w:val="auto"/>
          <w:kern w:val="0"/>
          <w:sz w:val="30"/>
          <w:szCs w:val="30"/>
          <w:lang w:val="en" w:eastAsia="zh-CN"/>
        </w:rPr>
        <w:t>.</w:t>
      </w:r>
      <w:r>
        <w:rPr>
          <w:rFonts w:hint="eastAsia" w:eastAsia="仿宋"/>
          <w:color w:val="auto"/>
          <w:kern w:val="0"/>
          <w:sz w:val="30"/>
          <w:szCs w:val="30"/>
          <w:lang w:val="en-US" w:eastAsia="zh-CN"/>
        </w:rPr>
        <w:t>2</w:t>
      </w:r>
      <w:r>
        <w:rPr>
          <w:rFonts w:hint="default" w:eastAsia="仿宋"/>
          <w:color w:val="auto"/>
          <w:kern w:val="0"/>
          <w:sz w:val="30"/>
          <w:szCs w:val="30"/>
          <w:lang w:val="en" w:eastAsia="zh-CN"/>
        </w:rPr>
        <w:t>1</w:t>
      </w:r>
      <w:r>
        <w:rPr>
          <w:rFonts w:hint="eastAsia" w:eastAsia="仿宋"/>
          <w:color w:val="auto"/>
          <w:sz w:val="30"/>
          <w:szCs w:val="30"/>
        </w:rPr>
        <w:t>亿元，</w:t>
      </w:r>
      <w:r>
        <w:rPr>
          <w:rFonts w:hint="eastAsia" w:eastAsia="仿宋"/>
          <w:color w:val="auto"/>
          <w:sz w:val="30"/>
          <w:szCs w:val="30"/>
          <w:lang w:eastAsia="zh-CN"/>
        </w:rPr>
        <w:t>执行率</w:t>
      </w:r>
      <w:r>
        <w:rPr>
          <w:rFonts w:hint="eastAsia" w:eastAsia="仿宋"/>
          <w:color w:val="auto"/>
          <w:sz w:val="30"/>
          <w:szCs w:val="30"/>
        </w:rPr>
        <w:t>9</w:t>
      </w:r>
      <w:r>
        <w:rPr>
          <w:rFonts w:hint="default" w:eastAsia="仿宋"/>
          <w:color w:val="auto"/>
          <w:sz w:val="30"/>
          <w:szCs w:val="30"/>
          <w:lang w:val="en"/>
        </w:rPr>
        <w:t>6.60</w:t>
      </w:r>
      <w:r>
        <w:rPr>
          <w:rFonts w:hint="eastAsia" w:eastAsia="仿宋"/>
          <w:color w:val="auto"/>
          <w:sz w:val="30"/>
          <w:szCs w:val="30"/>
        </w:rPr>
        <w:t>%，有力保障了各项工作的完成。进一步落实“过紧日子”的要求，研究制定后勤综合服务定额标准，完成104个项目的部门评审，完成机关运行成本管控目标，进一步提高财政资金使用效益。</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2.</w:t>
      </w:r>
      <w:r>
        <w:rPr>
          <w:rFonts w:eastAsia="仿宋"/>
          <w:b w:val="0"/>
          <w:bCs w:val="0"/>
          <w:color w:val="auto"/>
          <w:sz w:val="30"/>
          <w:szCs w:val="30"/>
        </w:rPr>
        <w:t xml:space="preserve"> </w:t>
      </w:r>
      <w:r>
        <w:rPr>
          <w:rFonts w:hint="eastAsia" w:eastAsia="仿宋"/>
          <w:b w:val="0"/>
          <w:bCs w:val="0"/>
          <w:color w:val="auto"/>
          <w:sz w:val="30"/>
          <w:szCs w:val="30"/>
        </w:rPr>
        <w:t>社会效益</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依制度管理、依标准服务，切实提高机关事务保障服务能力。牢固树立安全第一的工作理念，扎实推进办公用房、公务用车管理以及机关运行保障数字化平台建设，促进资产共享共用，持续提升管理效能、服务保障水平和机关运转工作效率，确保各项工作有序开展。</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3.</w:t>
      </w:r>
      <w:r>
        <w:rPr>
          <w:rFonts w:eastAsia="仿宋"/>
          <w:b w:val="0"/>
          <w:bCs w:val="0"/>
          <w:color w:val="auto"/>
          <w:sz w:val="30"/>
          <w:szCs w:val="30"/>
        </w:rPr>
        <w:t xml:space="preserve"> </w:t>
      </w:r>
      <w:r>
        <w:rPr>
          <w:rFonts w:hint="eastAsia" w:eastAsia="仿宋"/>
          <w:b w:val="0"/>
          <w:bCs w:val="0"/>
          <w:color w:val="auto"/>
          <w:sz w:val="30"/>
          <w:szCs w:val="30"/>
        </w:rPr>
        <w:t>环境效益</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w:t>
      </w:r>
      <w:r>
        <w:rPr>
          <w:rFonts w:eastAsia="仿宋"/>
          <w:color w:val="auto"/>
          <w:sz w:val="30"/>
          <w:szCs w:val="30"/>
        </w:rPr>
        <w:t>021</w:t>
      </w:r>
      <w:r>
        <w:rPr>
          <w:rFonts w:hint="eastAsia" w:eastAsia="仿宋"/>
          <w:color w:val="auto"/>
          <w:sz w:val="30"/>
          <w:szCs w:val="30"/>
        </w:rPr>
        <w:t>年度，全市节约型机关创建效果显著，市区两级861家单位通过市级节约型机关创建验收，超额完成年度指标，60%市级机关建成节水型机关、6个单位被评为国家级水效领跑者、477个单位完成全市市级党政机关生活垃圾分类达标创建，6个公共机构被评为市级先进集体，11人被评为先进个人。开展集中办公区能源资源消耗情况统计分析，完成7158家公共机构名录库维护，为今后统计分析打下了良好基础。</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4.</w:t>
      </w:r>
      <w:r>
        <w:rPr>
          <w:rFonts w:eastAsia="仿宋"/>
          <w:b w:val="0"/>
          <w:bCs w:val="0"/>
          <w:color w:val="auto"/>
          <w:sz w:val="30"/>
          <w:szCs w:val="30"/>
        </w:rPr>
        <w:t xml:space="preserve"> </w:t>
      </w:r>
      <w:r>
        <w:rPr>
          <w:rFonts w:hint="eastAsia" w:eastAsia="仿宋"/>
          <w:b w:val="0"/>
          <w:bCs w:val="0"/>
          <w:color w:val="auto"/>
          <w:sz w:val="30"/>
          <w:szCs w:val="30"/>
        </w:rPr>
        <w:t>可持续性影响</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w:t>
      </w:r>
      <w:r>
        <w:rPr>
          <w:rFonts w:eastAsia="仿宋"/>
          <w:color w:val="auto"/>
          <w:sz w:val="30"/>
          <w:szCs w:val="30"/>
        </w:rPr>
        <w:t>021</w:t>
      </w:r>
      <w:r>
        <w:rPr>
          <w:rFonts w:hint="eastAsia" w:eastAsia="仿宋"/>
          <w:color w:val="auto"/>
          <w:sz w:val="30"/>
          <w:szCs w:val="30"/>
        </w:rPr>
        <w:t>年度，研究制定并印发《北京市机关事务“十四五”发展规划》，从顶层设计层面，明确未来五年的北京机关事务高质量发展的总体思路和任务目标。着力构建系统完备、科学规范、运行有效的制度体系，牵头制定“十四五”公共机构节约能源资源工作规划和《高等学校能源消耗定额》《机关用水定额》2项本市地方标准，制定出台《北京市市级集中办公区家具配置标准》等3项资产管理制度标准，《北京市行政执法用车管理办法》等2项车辆管理制度，《北京市党政机关办公用房维修管理办法》，《集中办公区公用设施设备维护服务标准》等7项物业管理制度标准，《北京市市级党政机关节能低碳行为规范（试行）》等10项公共机构节能管理制度标准，不断夯实机关运行保障的制度基础。</w:t>
      </w:r>
    </w:p>
    <w:p>
      <w:pPr>
        <w:adjustRightInd w:val="0"/>
        <w:snapToGrid w:val="0"/>
        <w:spacing w:line="360" w:lineRule="auto"/>
        <w:ind w:firstLine="600" w:firstLineChars="200"/>
        <w:rPr>
          <w:rFonts w:eastAsia="仿宋"/>
          <w:b w:val="0"/>
          <w:bCs w:val="0"/>
          <w:color w:val="auto"/>
          <w:sz w:val="30"/>
          <w:szCs w:val="30"/>
        </w:rPr>
      </w:pPr>
      <w:r>
        <w:rPr>
          <w:rFonts w:hint="eastAsia" w:eastAsia="仿宋"/>
          <w:b w:val="0"/>
          <w:bCs w:val="0"/>
          <w:color w:val="auto"/>
          <w:sz w:val="30"/>
          <w:szCs w:val="30"/>
        </w:rPr>
        <w:t>5.</w:t>
      </w:r>
      <w:r>
        <w:rPr>
          <w:rFonts w:eastAsia="仿宋"/>
          <w:b w:val="0"/>
          <w:bCs w:val="0"/>
          <w:color w:val="auto"/>
          <w:sz w:val="30"/>
          <w:szCs w:val="30"/>
        </w:rPr>
        <w:t xml:space="preserve"> </w:t>
      </w:r>
      <w:r>
        <w:rPr>
          <w:rFonts w:hint="eastAsia" w:eastAsia="仿宋"/>
          <w:b w:val="0"/>
          <w:bCs w:val="0"/>
          <w:color w:val="auto"/>
          <w:sz w:val="30"/>
          <w:szCs w:val="30"/>
        </w:rPr>
        <w:t>服务对象满意度</w:t>
      </w:r>
    </w:p>
    <w:p>
      <w:pPr>
        <w:adjustRightInd w:val="0"/>
        <w:snapToGrid w:val="0"/>
        <w:spacing w:line="360" w:lineRule="auto"/>
        <w:ind w:firstLine="450" w:firstLineChars="150"/>
        <w:rPr>
          <w:rFonts w:eastAsia="仿宋"/>
          <w:color w:val="auto"/>
          <w:sz w:val="30"/>
          <w:szCs w:val="30"/>
        </w:rPr>
      </w:pPr>
      <w:r>
        <w:rPr>
          <w:rFonts w:hint="eastAsia" w:eastAsia="仿宋"/>
          <w:color w:val="auto"/>
          <w:sz w:val="30"/>
          <w:szCs w:val="30"/>
        </w:rPr>
        <w:t>强化宗旨意识，坚持问题和需求导向，切实解决干部职工关心关注的职工宿舍、子女教育、医疗、交通、生活等重点难点问题，多措并举办好实事，力提升干部职工的幸福感，集中办公区服务对象满意度达到预期目标。</w:t>
      </w:r>
    </w:p>
    <w:p>
      <w:pPr>
        <w:adjustRightInd w:val="0"/>
        <w:snapToGrid w:val="0"/>
        <w:spacing w:before="312" w:beforeLines="100" w:after="156" w:afterLines="50" w:line="360" w:lineRule="auto"/>
        <w:ind w:firstLine="450" w:firstLineChars="150"/>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rPr>
        <w:t>四、预算管理情况分析</w:t>
      </w:r>
    </w:p>
    <w:p>
      <w:pPr>
        <w:adjustRightInd w:val="0"/>
        <w:snapToGrid w:val="0"/>
        <w:spacing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（一）财务管理</w:t>
      </w:r>
    </w:p>
    <w:p>
      <w:pPr>
        <w:adjustRightInd w:val="0"/>
        <w:snapToGrid w:val="0"/>
        <w:spacing w:line="360" w:lineRule="auto"/>
        <w:ind w:firstLine="600" w:firstLineChars="200"/>
        <w:rPr>
          <w:rFonts w:eastAsia="仿宋"/>
          <w:b w:val="0"/>
          <w:bCs w:val="0"/>
          <w:color w:val="auto"/>
          <w:kern w:val="0"/>
          <w:sz w:val="30"/>
          <w:szCs w:val="30"/>
        </w:rPr>
      </w:pPr>
      <w:r>
        <w:rPr>
          <w:rFonts w:eastAsia="仿宋"/>
          <w:b w:val="0"/>
          <w:bCs w:val="0"/>
          <w:color w:val="auto"/>
          <w:kern w:val="0"/>
          <w:sz w:val="30"/>
          <w:szCs w:val="30"/>
        </w:rPr>
        <w:t>1. 财务管理制度健全性</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为规范财务管理，市机关事务局根据单位业务特点，从业务处室开展工作的实际出发，在预算收支管理、资产管理、政府采购管理、合同管理以及信息化建设项目管理等方面，进一步健全和完善财务管理制度和项目管理办法。在制度执行方面，强化财务约束，规范财务管理，杜绝无预算、超预算支出行为，并定期开展监督检查，各项管理制度得到了有效执行。</w:t>
      </w:r>
    </w:p>
    <w:p>
      <w:pPr>
        <w:adjustRightInd w:val="0"/>
        <w:snapToGrid w:val="0"/>
        <w:spacing w:line="360" w:lineRule="auto"/>
        <w:ind w:firstLine="600" w:firstLineChars="200"/>
        <w:rPr>
          <w:rFonts w:eastAsia="仿宋"/>
          <w:b w:val="0"/>
          <w:bCs w:val="0"/>
          <w:color w:val="auto"/>
          <w:kern w:val="0"/>
          <w:sz w:val="30"/>
          <w:szCs w:val="30"/>
        </w:rPr>
      </w:pPr>
      <w:r>
        <w:rPr>
          <w:rFonts w:eastAsia="仿宋"/>
          <w:b w:val="0"/>
          <w:bCs w:val="0"/>
          <w:color w:val="auto"/>
          <w:kern w:val="0"/>
          <w:sz w:val="30"/>
          <w:szCs w:val="30"/>
        </w:rPr>
        <w:t>2. 资金使用合规性和安全性</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为确保财政资金运转安全、高效，市机关事务局在资金使用和管理上，严格遵守财经纪律和各项财务管理制度规定，严格控制三公经费支出，明确一般性支出的开支范围和标准，并严格按规定执行预算，履行调整报批手续，按事项完成进度支付资金。</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加强对资金使用的监管和跟踪，明确责任，重视财政资金使用的绩效评价，履职尽责，确保资金安全。项目管理资金使用坚持收支平衡原则，量入为出，既能履行市机关事务局工作职责又能够保证管理和服务的需要。项目资金严格实行专款专用、单独核算的会计制度，避免出现财政资金被挤占、挪用等违规行为，保障了项目支出合规、按预算开展。</w:t>
      </w:r>
    </w:p>
    <w:p>
      <w:pPr>
        <w:adjustRightInd w:val="0"/>
        <w:snapToGrid w:val="0"/>
        <w:spacing w:line="360" w:lineRule="auto"/>
        <w:ind w:firstLine="600" w:firstLineChars="200"/>
        <w:rPr>
          <w:rFonts w:eastAsia="仿宋"/>
          <w:b w:val="0"/>
          <w:bCs w:val="0"/>
          <w:color w:val="auto"/>
          <w:kern w:val="0"/>
          <w:sz w:val="30"/>
          <w:szCs w:val="30"/>
        </w:rPr>
      </w:pPr>
      <w:r>
        <w:rPr>
          <w:rFonts w:eastAsia="仿宋"/>
          <w:b w:val="0"/>
          <w:bCs w:val="0"/>
          <w:color w:val="auto"/>
          <w:kern w:val="0"/>
          <w:sz w:val="30"/>
          <w:szCs w:val="30"/>
        </w:rPr>
        <w:t>3. 会计基础信息完善性</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自20</w:t>
      </w:r>
      <w:r>
        <w:rPr>
          <w:rFonts w:eastAsia="仿宋"/>
          <w:color w:val="auto"/>
          <w:kern w:val="0"/>
          <w:sz w:val="30"/>
          <w:szCs w:val="30"/>
        </w:rPr>
        <w:t>19</w:t>
      </w:r>
      <w:r>
        <w:rPr>
          <w:rFonts w:hint="eastAsia" w:eastAsia="仿宋"/>
          <w:color w:val="auto"/>
          <w:kern w:val="0"/>
          <w:sz w:val="30"/>
          <w:szCs w:val="30"/>
        </w:rPr>
        <w:t>年度起，开始执行政府会计准则（财政部令第78号）及系列具体准则、应用指南、《政府会计制度——行政事业单位会计科目和报表》（财会﹝2017﹞25号）以及政府会计准则及制度解释等文件（以下统称：政府会计准则及制度）规定。按照政府会计准则及制度设置会计科目，进行日常会计核算，编制财务会计报表和部门决算报表，确保了基础数据信息和会计信息资料真实、完整、准确。</w:t>
      </w:r>
    </w:p>
    <w:p>
      <w:pPr>
        <w:adjustRightInd w:val="0"/>
        <w:snapToGrid w:val="0"/>
        <w:spacing w:before="156" w:beforeLines="50"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（二）资产管理</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根据《行政事业性国有资产管理条例》（2021年2月1日 国务院令第738号）、《行政单位国有资产管理暂行办法》《事业单位国有资产管理暂行办法》以及北京市财政局相关规定，制定了相应的资产管理制度，按照规定建立健全资产管理台账，定期维护行政事业资产管理信息系统中的资产基础信息，维护了国有资产的安全完整、合理配置和有效利用。</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充分发挥集中管理优势，国有资产管理更加精准高效。深化“统分结合，分级管理”工作机制，研究制定《北京市市级机关集中办公区公物仓管理办法》，推进各集中办公区国有资产的集中统一管理，促进资产共享共用。坚持“充分利旧，合理补新”工作原则，做好A5和C6办公区的家具、窗帘、标识标牌、地毯和电器等5项资产的配置工作。秉承“处置规范、数据精准”工作思路，完成国有资产月报和年报工作，配合事业单位改革，完成“四小家”资产划转工作，同步完成资产台账交接工作，做到了账实相符。</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认真落实公务用车管理的各项制度规定，增强服务意识，高标准做好撤、并、改单位公务用车编制的重新核定，依法依规开展车辆购置、</w:t>
      </w:r>
      <w:r>
        <w:rPr>
          <w:rFonts w:hint="eastAsia" w:eastAsia="仿宋"/>
          <w:color w:val="auto"/>
          <w:sz w:val="30"/>
          <w:szCs w:val="30"/>
          <w:lang w:val="en-US" w:eastAsia="zh-CN"/>
        </w:rPr>
        <w:t>调拨</w:t>
      </w:r>
      <w:bookmarkStart w:id="0" w:name="_GoBack"/>
      <w:bookmarkEnd w:id="0"/>
      <w:r>
        <w:rPr>
          <w:rFonts w:hint="eastAsia" w:eastAsia="仿宋"/>
          <w:color w:val="auto"/>
          <w:sz w:val="30"/>
          <w:szCs w:val="30"/>
        </w:rPr>
        <w:t>、处置和编制清理工作，先后为28个编制调整单位重新核定车辆1398辆，为9个新成立单位核定车辆41辆，为152个单位办理车辆报废590辆，为91个单位办理车辆购置101辆。</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截至202</w:t>
      </w:r>
      <w:r>
        <w:rPr>
          <w:rFonts w:eastAsia="仿宋"/>
          <w:color w:val="auto"/>
          <w:sz w:val="30"/>
          <w:szCs w:val="30"/>
        </w:rPr>
        <w:t>1</w:t>
      </w:r>
      <w:r>
        <w:rPr>
          <w:rFonts w:hint="eastAsia" w:eastAsia="仿宋"/>
          <w:color w:val="auto"/>
          <w:sz w:val="30"/>
          <w:szCs w:val="30"/>
        </w:rPr>
        <w:t>年12月31日，市机关事务局的固定资产年末余额</w:t>
      </w:r>
      <w:r>
        <w:rPr>
          <w:rFonts w:eastAsia="仿宋"/>
          <w:color w:val="auto"/>
          <w:sz w:val="30"/>
          <w:szCs w:val="30"/>
        </w:rPr>
        <w:t>560,250.68</w:t>
      </w:r>
      <w:r>
        <w:rPr>
          <w:rFonts w:hint="eastAsia" w:eastAsia="仿宋"/>
          <w:color w:val="auto"/>
          <w:sz w:val="30"/>
          <w:szCs w:val="30"/>
        </w:rPr>
        <w:t>万元（其中：房屋建筑物</w:t>
      </w:r>
      <w:r>
        <w:rPr>
          <w:rFonts w:eastAsia="仿宋"/>
          <w:color w:val="auto"/>
          <w:sz w:val="30"/>
          <w:szCs w:val="30"/>
        </w:rPr>
        <w:t>498,336.15</w:t>
      </w:r>
      <w:r>
        <w:rPr>
          <w:rFonts w:hint="eastAsia" w:eastAsia="仿宋"/>
          <w:color w:val="auto"/>
          <w:sz w:val="30"/>
          <w:szCs w:val="30"/>
        </w:rPr>
        <w:t>万元、通用设备</w:t>
      </w:r>
      <w:r>
        <w:rPr>
          <w:rFonts w:eastAsia="仿宋"/>
          <w:color w:val="auto"/>
          <w:sz w:val="30"/>
          <w:szCs w:val="30"/>
        </w:rPr>
        <w:t>25,879.58</w:t>
      </w:r>
      <w:r>
        <w:rPr>
          <w:rFonts w:hint="eastAsia" w:eastAsia="仿宋"/>
          <w:color w:val="auto"/>
          <w:sz w:val="30"/>
          <w:szCs w:val="30"/>
        </w:rPr>
        <w:t>万元、专用设备</w:t>
      </w:r>
      <w:r>
        <w:rPr>
          <w:rFonts w:eastAsia="仿宋"/>
          <w:color w:val="auto"/>
          <w:sz w:val="30"/>
          <w:szCs w:val="30"/>
        </w:rPr>
        <w:t>4,372.77</w:t>
      </w:r>
      <w:r>
        <w:rPr>
          <w:rFonts w:hint="eastAsia" w:eastAsia="仿宋"/>
          <w:color w:val="auto"/>
          <w:sz w:val="30"/>
          <w:szCs w:val="30"/>
        </w:rPr>
        <w:t>万元、文物和陈列品</w:t>
      </w:r>
      <w:r>
        <w:rPr>
          <w:rFonts w:eastAsia="仿宋"/>
          <w:color w:val="auto"/>
          <w:sz w:val="30"/>
          <w:szCs w:val="30"/>
        </w:rPr>
        <w:t>2,432.62</w:t>
      </w:r>
      <w:r>
        <w:rPr>
          <w:rFonts w:hint="eastAsia" w:eastAsia="仿宋"/>
          <w:color w:val="auto"/>
          <w:sz w:val="30"/>
          <w:szCs w:val="30"/>
        </w:rPr>
        <w:t>万元、图书及档案8.</w:t>
      </w:r>
      <w:r>
        <w:rPr>
          <w:rFonts w:eastAsia="仿宋"/>
          <w:color w:val="auto"/>
          <w:sz w:val="30"/>
          <w:szCs w:val="30"/>
        </w:rPr>
        <w:t>71</w:t>
      </w:r>
      <w:r>
        <w:rPr>
          <w:rFonts w:hint="eastAsia" w:eastAsia="仿宋"/>
          <w:color w:val="auto"/>
          <w:sz w:val="30"/>
          <w:szCs w:val="30"/>
        </w:rPr>
        <w:t>万元、家具用具</w:t>
      </w:r>
      <w:r>
        <w:rPr>
          <w:rFonts w:eastAsia="仿宋"/>
          <w:color w:val="auto"/>
          <w:sz w:val="30"/>
          <w:szCs w:val="30"/>
        </w:rPr>
        <w:t>29,220.85</w:t>
      </w:r>
      <w:r>
        <w:rPr>
          <w:rFonts w:hint="eastAsia" w:eastAsia="仿宋"/>
          <w:color w:val="auto"/>
          <w:sz w:val="30"/>
          <w:szCs w:val="30"/>
        </w:rPr>
        <w:t>万元）。</w:t>
      </w:r>
    </w:p>
    <w:p>
      <w:pPr>
        <w:adjustRightInd w:val="0"/>
        <w:snapToGrid w:val="0"/>
        <w:spacing w:before="156" w:beforeLines="50"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（三）绩效管理</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2</w:t>
      </w:r>
      <w:r>
        <w:rPr>
          <w:rFonts w:eastAsia="仿宋"/>
          <w:color w:val="auto"/>
          <w:sz w:val="30"/>
          <w:szCs w:val="30"/>
        </w:rPr>
        <w:t>021</w:t>
      </w:r>
      <w:r>
        <w:rPr>
          <w:rFonts w:hint="eastAsia" w:eastAsia="仿宋"/>
          <w:color w:val="auto"/>
          <w:sz w:val="30"/>
          <w:szCs w:val="30"/>
        </w:rPr>
        <w:t>年，市机关事务局深入贯彻落实有关深化全面预算绩效管理和“过紧日子”的有关文件精神，紧紧围绕“预算编制有目标、预算执行有监控、预算完成有评价、评价结果有反馈、反馈结果有应用”的预算绩效管理要求，建立健全工作机制，组织开展工作，突出预算绩效管理，提高资金使用效益。继续聘请第三方机构参与预算绩效评价、成本预算绩效分析等绩效管理事务性工作，明确业务工作流程，加强与相关业务处室的定期沟通与协调，完善各项绩效管理基础工作。进一步加强绩效管理结果的应用，将预算绩效目标管理、绩效运行监控、绩效评价结果和预算安排、预算调整相挂钩，切实增强预算绩效管理的实效性。</w:t>
      </w:r>
    </w:p>
    <w:p>
      <w:pPr>
        <w:adjustRightInd w:val="0"/>
        <w:snapToGrid w:val="0"/>
        <w:spacing w:before="156" w:beforeLines="50"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（四）结转结余率</w:t>
      </w:r>
    </w:p>
    <w:p>
      <w:pPr>
        <w:adjustRightInd w:val="0"/>
        <w:snapToGrid w:val="0"/>
        <w:spacing w:line="360" w:lineRule="auto"/>
        <w:ind w:firstLine="450" w:firstLineChars="150"/>
        <w:rPr>
          <w:rFonts w:eastAsia="仿宋"/>
          <w:color w:val="auto"/>
          <w:sz w:val="30"/>
          <w:szCs w:val="30"/>
        </w:rPr>
      </w:pPr>
      <w:r>
        <w:rPr>
          <w:rFonts w:hint="eastAsia" w:eastAsia="仿宋"/>
          <w:color w:val="auto"/>
          <w:sz w:val="30"/>
          <w:szCs w:val="30"/>
        </w:rPr>
        <w:t>市机关事务局202</w:t>
      </w:r>
      <w:r>
        <w:rPr>
          <w:rFonts w:eastAsia="仿宋"/>
          <w:color w:val="auto"/>
          <w:sz w:val="30"/>
          <w:szCs w:val="30"/>
        </w:rPr>
        <w:t>1</w:t>
      </w:r>
      <w:r>
        <w:rPr>
          <w:rFonts w:hint="eastAsia" w:eastAsia="仿宋"/>
          <w:color w:val="auto"/>
          <w:sz w:val="30"/>
          <w:szCs w:val="30"/>
        </w:rPr>
        <w:t>年末结转结余资金</w:t>
      </w:r>
      <w:r>
        <w:rPr>
          <w:rFonts w:eastAsia="仿宋"/>
          <w:color w:val="auto"/>
          <w:sz w:val="30"/>
          <w:szCs w:val="30"/>
        </w:rPr>
        <w:t>5</w:t>
      </w:r>
      <w:r>
        <w:rPr>
          <w:rFonts w:hint="eastAsia" w:eastAsia="仿宋"/>
          <w:color w:val="auto"/>
          <w:sz w:val="30"/>
          <w:szCs w:val="30"/>
        </w:rPr>
        <w:t>,</w:t>
      </w:r>
      <w:r>
        <w:rPr>
          <w:rFonts w:eastAsia="仿宋"/>
          <w:color w:val="auto"/>
          <w:sz w:val="30"/>
          <w:szCs w:val="30"/>
        </w:rPr>
        <w:t>026.17</w:t>
      </w:r>
      <w:r>
        <w:rPr>
          <w:rFonts w:hint="eastAsia" w:eastAsia="仿宋"/>
          <w:color w:val="auto"/>
          <w:sz w:val="30"/>
          <w:szCs w:val="30"/>
        </w:rPr>
        <w:t>万元（主要是项目支出结转结余），202</w:t>
      </w:r>
      <w:r>
        <w:rPr>
          <w:rFonts w:eastAsia="仿宋"/>
          <w:color w:val="auto"/>
          <w:sz w:val="30"/>
          <w:szCs w:val="30"/>
        </w:rPr>
        <w:t>1</w:t>
      </w:r>
      <w:r>
        <w:rPr>
          <w:rFonts w:hint="eastAsia" w:eastAsia="仿宋"/>
          <w:color w:val="auto"/>
          <w:sz w:val="30"/>
          <w:szCs w:val="30"/>
        </w:rPr>
        <w:t>年</w:t>
      </w:r>
      <w:r>
        <w:rPr>
          <w:rFonts w:hint="eastAsia" w:eastAsia="仿宋"/>
          <w:color w:val="auto"/>
          <w:sz w:val="30"/>
          <w:szCs w:val="30"/>
          <w:lang w:eastAsia="zh-CN"/>
        </w:rPr>
        <w:t>调整</w:t>
      </w:r>
      <w:r>
        <w:rPr>
          <w:rFonts w:hint="eastAsia" w:eastAsia="仿宋"/>
          <w:color w:val="auto"/>
          <w:sz w:val="30"/>
          <w:szCs w:val="30"/>
        </w:rPr>
        <w:t>预算总额</w:t>
      </w:r>
      <w:r>
        <w:rPr>
          <w:rFonts w:hint="eastAsia" w:eastAsia="仿宋"/>
          <w:color w:val="auto"/>
          <w:kern w:val="0"/>
          <w:sz w:val="30"/>
          <w:szCs w:val="30"/>
          <w:lang w:val="en-US" w:eastAsia="zh-CN"/>
        </w:rPr>
        <w:t>266</w:t>
      </w:r>
      <w:r>
        <w:rPr>
          <w:rFonts w:hint="default" w:eastAsia="仿宋"/>
          <w:color w:val="auto"/>
          <w:kern w:val="0"/>
          <w:sz w:val="30"/>
          <w:szCs w:val="30"/>
          <w:lang w:val="en" w:eastAsia="zh-CN"/>
        </w:rPr>
        <w:t>,</w:t>
      </w:r>
      <w:r>
        <w:rPr>
          <w:rFonts w:hint="eastAsia" w:eastAsia="仿宋"/>
          <w:color w:val="auto"/>
          <w:kern w:val="0"/>
          <w:sz w:val="30"/>
          <w:szCs w:val="30"/>
          <w:lang w:val="en-US" w:eastAsia="zh-CN"/>
        </w:rPr>
        <w:t>8</w:t>
      </w:r>
      <w:r>
        <w:rPr>
          <w:rFonts w:hint="default" w:eastAsia="仿宋"/>
          <w:color w:val="auto"/>
          <w:kern w:val="0"/>
          <w:sz w:val="30"/>
          <w:szCs w:val="30"/>
          <w:lang w:val="en" w:eastAsia="zh-CN"/>
        </w:rPr>
        <w:t>53.29</w:t>
      </w:r>
      <w:r>
        <w:rPr>
          <w:rFonts w:hint="eastAsia" w:eastAsia="仿宋"/>
          <w:color w:val="auto"/>
          <w:sz w:val="30"/>
          <w:szCs w:val="30"/>
        </w:rPr>
        <w:t>万元，结转结余率</w:t>
      </w:r>
      <w:r>
        <w:rPr>
          <w:rFonts w:eastAsia="仿宋"/>
          <w:color w:val="auto"/>
          <w:sz w:val="30"/>
          <w:szCs w:val="30"/>
        </w:rPr>
        <w:t>1</w:t>
      </w:r>
      <w:r>
        <w:rPr>
          <w:rFonts w:hint="eastAsia" w:eastAsia="仿宋"/>
          <w:color w:val="auto"/>
          <w:sz w:val="30"/>
          <w:szCs w:val="30"/>
        </w:rPr>
        <w:t>.</w:t>
      </w:r>
      <w:r>
        <w:rPr>
          <w:rFonts w:eastAsia="仿宋"/>
          <w:color w:val="auto"/>
          <w:sz w:val="30"/>
          <w:szCs w:val="30"/>
        </w:rPr>
        <w:t>88</w:t>
      </w:r>
      <w:r>
        <w:rPr>
          <w:rFonts w:hint="eastAsia" w:eastAsia="仿宋"/>
          <w:color w:val="auto"/>
          <w:sz w:val="30"/>
          <w:szCs w:val="30"/>
        </w:rPr>
        <w:t>%，资金预算管理较好。</w:t>
      </w:r>
    </w:p>
    <w:p>
      <w:pPr>
        <w:adjustRightInd w:val="0"/>
        <w:snapToGrid w:val="0"/>
        <w:spacing w:before="156" w:beforeLines="50"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（五）部门预决算差异率</w:t>
      </w:r>
    </w:p>
    <w:p>
      <w:pPr>
        <w:adjustRightInd w:val="0"/>
        <w:snapToGrid w:val="0"/>
        <w:spacing w:line="360" w:lineRule="auto"/>
        <w:ind w:firstLine="450" w:firstLineChars="150"/>
        <w:rPr>
          <w:rFonts w:eastAsia="仿宋"/>
          <w:b w:val="0"/>
          <w:bCs w:val="0"/>
          <w:color w:val="auto"/>
          <w:sz w:val="30"/>
          <w:szCs w:val="30"/>
        </w:rPr>
      </w:pPr>
      <w:r>
        <w:rPr>
          <w:rFonts w:hint="eastAsia" w:eastAsia="仿宋"/>
          <w:b w:val="0"/>
          <w:bCs w:val="0"/>
          <w:color w:val="auto"/>
          <w:sz w:val="30"/>
          <w:szCs w:val="30"/>
        </w:rPr>
        <w:t>1.</w:t>
      </w:r>
      <w:r>
        <w:rPr>
          <w:rFonts w:eastAsia="仿宋"/>
          <w:b w:val="0"/>
          <w:bCs w:val="0"/>
          <w:color w:val="auto"/>
          <w:sz w:val="30"/>
          <w:szCs w:val="30"/>
        </w:rPr>
        <w:t xml:space="preserve"> </w:t>
      </w:r>
      <w:r>
        <w:rPr>
          <w:rFonts w:hint="eastAsia" w:eastAsia="仿宋"/>
          <w:b w:val="0"/>
          <w:bCs w:val="0"/>
          <w:color w:val="auto"/>
          <w:sz w:val="30"/>
          <w:szCs w:val="30"/>
        </w:rPr>
        <w:t>部门收入预决算差异率</w:t>
      </w:r>
    </w:p>
    <w:p>
      <w:pPr>
        <w:adjustRightInd w:val="0"/>
        <w:snapToGrid w:val="0"/>
        <w:spacing w:line="360" w:lineRule="auto"/>
        <w:ind w:firstLine="450" w:firstLineChars="150"/>
        <w:rPr>
          <w:rFonts w:eastAsia="仿宋"/>
          <w:color w:val="auto"/>
          <w:sz w:val="30"/>
          <w:szCs w:val="30"/>
        </w:rPr>
      </w:pPr>
      <w:r>
        <w:rPr>
          <w:rFonts w:hint="eastAsia" w:eastAsia="仿宋"/>
          <w:color w:val="auto"/>
          <w:sz w:val="30"/>
          <w:szCs w:val="30"/>
        </w:rPr>
        <w:t>市机关事务局202</w:t>
      </w:r>
      <w:r>
        <w:rPr>
          <w:rFonts w:eastAsia="仿宋"/>
          <w:color w:val="auto"/>
          <w:sz w:val="30"/>
          <w:szCs w:val="30"/>
        </w:rPr>
        <w:t>1</w:t>
      </w:r>
      <w:r>
        <w:rPr>
          <w:rFonts w:hint="eastAsia" w:eastAsia="仿宋"/>
          <w:color w:val="auto"/>
          <w:sz w:val="30"/>
          <w:szCs w:val="30"/>
        </w:rPr>
        <w:t>年度</w:t>
      </w:r>
      <w:r>
        <w:rPr>
          <w:rFonts w:hint="eastAsia" w:eastAsia="仿宋"/>
          <w:color w:val="auto"/>
          <w:sz w:val="30"/>
          <w:szCs w:val="30"/>
          <w:lang w:eastAsia="zh-CN"/>
        </w:rPr>
        <w:t>年初</w:t>
      </w:r>
      <w:r>
        <w:rPr>
          <w:rFonts w:hint="eastAsia" w:eastAsia="仿宋"/>
          <w:color w:val="auto"/>
          <w:sz w:val="30"/>
          <w:szCs w:val="30"/>
        </w:rPr>
        <w:t>部门收入预算总额</w:t>
      </w:r>
      <w:r>
        <w:rPr>
          <w:rFonts w:eastAsia="仿宋"/>
          <w:color w:val="auto"/>
          <w:sz w:val="30"/>
          <w:szCs w:val="30"/>
        </w:rPr>
        <w:t>2</w:t>
      </w:r>
      <w:r>
        <w:rPr>
          <w:rFonts w:hint="eastAsia" w:eastAsia="仿宋"/>
          <w:color w:val="auto"/>
          <w:sz w:val="30"/>
          <w:szCs w:val="30"/>
          <w:lang w:val="en-US" w:eastAsia="zh-CN"/>
        </w:rPr>
        <w:t>51</w:t>
      </w:r>
      <w:r>
        <w:rPr>
          <w:rFonts w:eastAsia="仿宋"/>
          <w:color w:val="auto"/>
          <w:sz w:val="30"/>
          <w:szCs w:val="30"/>
        </w:rPr>
        <w:t>,</w:t>
      </w:r>
      <w:r>
        <w:rPr>
          <w:rFonts w:hint="eastAsia" w:eastAsia="仿宋"/>
          <w:color w:val="auto"/>
          <w:sz w:val="30"/>
          <w:szCs w:val="30"/>
          <w:lang w:val="en-US" w:eastAsia="zh-CN"/>
        </w:rPr>
        <w:t>088</w:t>
      </w:r>
      <w:r>
        <w:rPr>
          <w:rFonts w:eastAsia="仿宋"/>
          <w:color w:val="auto"/>
          <w:sz w:val="30"/>
          <w:szCs w:val="30"/>
        </w:rPr>
        <w:t>.</w:t>
      </w:r>
      <w:r>
        <w:rPr>
          <w:rFonts w:hint="eastAsia" w:eastAsia="仿宋"/>
          <w:color w:val="auto"/>
          <w:sz w:val="30"/>
          <w:szCs w:val="30"/>
          <w:lang w:val="en-US" w:eastAsia="zh-CN"/>
        </w:rPr>
        <w:t>34</w:t>
      </w:r>
      <w:r>
        <w:rPr>
          <w:rFonts w:hint="eastAsia" w:eastAsia="仿宋"/>
          <w:color w:val="auto"/>
          <w:sz w:val="30"/>
          <w:szCs w:val="30"/>
        </w:rPr>
        <w:t>万元，其中：财政拨款预算数</w:t>
      </w:r>
      <w:r>
        <w:rPr>
          <w:rFonts w:eastAsia="仿宋"/>
          <w:color w:val="auto"/>
          <w:sz w:val="30"/>
          <w:szCs w:val="30"/>
        </w:rPr>
        <w:t>15</w:t>
      </w:r>
      <w:r>
        <w:rPr>
          <w:rFonts w:hint="eastAsia" w:eastAsia="仿宋"/>
          <w:color w:val="auto"/>
          <w:sz w:val="30"/>
          <w:szCs w:val="30"/>
          <w:lang w:val="en-US" w:eastAsia="zh-CN"/>
        </w:rPr>
        <w:t>4</w:t>
      </w:r>
      <w:r>
        <w:rPr>
          <w:rFonts w:eastAsia="仿宋"/>
          <w:color w:val="auto"/>
          <w:sz w:val="30"/>
          <w:szCs w:val="30"/>
        </w:rPr>
        <w:t>,</w:t>
      </w:r>
      <w:r>
        <w:rPr>
          <w:rFonts w:hint="eastAsia" w:eastAsia="仿宋"/>
          <w:color w:val="auto"/>
          <w:sz w:val="30"/>
          <w:szCs w:val="30"/>
          <w:lang w:val="en-US" w:eastAsia="zh-CN"/>
        </w:rPr>
        <w:t>997</w:t>
      </w:r>
      <w:r>
        <w:rPr>
          <w:rFonts w:eastAsia="仿宋"/>
          <w:color w:val="auto"/>
          <w:sz w:val="30"/>
          <w:szCs w:val="30"/>
        </w:rPr>
        <w:t>.</w:t>
      </w:r>
      <w:r>
        <w:rPr>
          <w:rFonts w:hint="eastAsia" w:eastAsia="仿宋"/>
          <w:color w:val="auto"/>
          <w:sz w:val="30"/>
          <w:szCs w:val="30"/>
          <w:lang w:val="en-US" w:eastAsia="zh-CN"/>
        </w:rPr>
        <w:t>54</w:t>
      </w:r>
      <w:r>
        <w:rPr>
          <w:rFonts w:hint="eastAsia" w:eastAsia="仿宋"/>
          <w:color w:val="auto"/>
          <w:sz w:val="30"/>
          <w:szCs w:val="30"/>
        </w:rPr>
        <w:t>万元（全部为一般公共预算收入）、经营收入预算数</w:t>
      </w:r>
      <w:r>
        <w:rPr>
          <w:rFonts w:hint="eastAsia" w:eastAsia="仿宋"/>
          <w:color w:val="auto"/>
          <w:sz w:val="30"/>
          <w:szCs w:val="30"/>
          <w:lang w:val="en-US" w:eastAsia="zh-CN"/>
        </w:rPr>
        <w:t>49</w:t>
      </w:r>
      <w:r>
        <w:rPr>
          <w:rFonts w:eastAsia="仿宋"/>
          <w:color w:val="auto"/>
          <w:sz w:val="30"/>
          <w:szCs w:val="30"/>
        </w:rPr>
        <w:t>,</w:t>
      </w:r>
      <w:r>
        <w:rPr>
          <w:rFonts w:hint="eastAsia" w:eastAsia="仿宋"/>
          <w:color w:val="auto"/>
          <w:sz w:val="30"/>
          <w:szCs w:val="30"/>
          <w:lang w:val="en-US" w:eastAsia="zh-CN"/>
        </w:rPr>
        <w:t>485</w:t>
      </w:r>
      <w:r>
        <w:rPr>
          <w:rFonts w:eastAsia="仿宋"/>
          <w:color w:val="auto"/>
          <w:sz w:val="30"/>
          <w:szCs w:val="30"/>
        </w:rPr>
        <w:t>.0</w:t>
      </w:r>
      <w:r>
        <w:rPr>
          <w:rFonts w:hint="eastAsia" w:eastAsia="仿宋"/>
          <w:color w:val="auto"/>
          <w:sz w:val="30"/>
          <w:szCs w:val="30"/>
          <w:lang w:val="en-US" w:eastAsia="zh-CN"/>
        </w:rPr>
        <w:t>0</w:t>
      </w:r>
      <w:r>
        <w:rPr>
          <w:rFonts w:hint="eastAsia" w:eastAsia="仿宋"/>
          <w:color w:val="auto"/>
          <w:sz w:val="30"/>
          <w:szCs w:val="30"/>
        </w:rPr>
        <w:t>万元、其他收入预算数</w:t>
      </w:r>
      <w:r>
        <w:rPr>
          <w:rFonts w:hint="eastAsia" w:eastAsia="仿宋"/>
          <w:color w:val="auto"/>
          <w:sz w:val="30"/>
          <w:szCs w:val="30"/>
          <w:lang w:val="en-US" w:eastAsia="zh-CN"/>
        </w:rPr>
        <w:t>180</w:t>
      </w:r>
      <w:r>
        <w:rPr>
          <w:rFonts w:eastAsia="仿宋"/>
          <w:color w:val="auto"/>
          <w:sz w:val="30"/>
          <w:szCs w:val="30"/>
        </w:rPr>
        <w:t>.6</w:t>
      </w:r>
      <w:r>
        <w:rPr>
          <w:rFonts w:hint="eastAsia" w:eastAsia="仿宋"/>
          <w:color w:val="auto"/>
          <w:sz w:val="30"/>
          <w:szCs w:val="30"/>
          <w:lang w:val="en-US" w:eastAsia="zh-CN"/>
        </w:rPr>
        <w:t>8</w:t>
      </w:r>
      <w:r>
        <w:rPr>
          <w:rFonts w:hint="eastAsia" w:eastAsia="仿宋"/>
          <w:color w:val="auto"/>
          <w:sz w:val="30"/>
          <w:szCs w:val="30"/>
        </w:rPr>
        <w:t>万元</w:t>
      </w:r>
      <w:r>
        <w:rPr>
          <w:rFonts w:hint="eastAsia" w:eastAsia="仿宋"/>
          <w:color w:val="auto"/>
          <w:sz w:val="30"/>
          <w:szCs w:val="30"/>
          <w:lang w:eastAsia="zh-CN"/>
        </w:rPr>
        <w:t>、使用非财政拨款结余</w:t>
      </w:r>
      <w:r>
        <w:rPr>
          <w:rFonts w:hint="eastAsia" w:eastAsia="仿宋"/>
          <w:color w:val="auto"/>
          <w:sz w:val="30"/>
          <w:szCs w:val="30"/>
          <w:lang w:val="en-US" w:eastAsia="zh-CN"/>
        </w:rPr>
        <w:t>2</w:t>
      </w:r>
      <w:r>
        <w:rPr>
          <w:rFonts w:hint="default" w:eastAsia="仿宋"/>
          <w:color w:val="auto"/>
          <w:sz w:val="30"/>
          <w:szCs w:val="30"/>
          <w:lang w:val="en" w:eastAsia="zh-CN"/>
        </w:rPr>
        <w:t>,</w:t>
      </w:r>
      <w:r>
        <w:rPr>
          <w:rFonts w:hint="eastAsia" w:eastAsia="仿宋"/>
          <w:color w:val="auto"/>
          <w:sz w:val="30"/>
          <w:szCs w:val="30"/>
          <w:lang w:val="en-US" w:eastAsia="zh-CN"/>
        </w:rPr>
        <w:t>603</w:t>
      </w:r>
      <w:r>
        <w:rPr>
          <w:rFonts w:hint="default" w:eastAsia="仿宋"/>
          <w:color w:val="auto"/>
          <w:sz w:val="30"/>
          <w:szCs w:val="30"/>
          <w:lang w:val="en" w:eastAsia="zh-CN"/>
        </w:rPr>
        <w:t>.74</w:t>
      </w:r>
      <w:r>
        <w:rPr>
          <w:rFonts w:hint="eastAsia" w:eastAsia="仿宋"/>
          <w:color w:val="auto"/>
          <w:sz w:val="30"/>
          <w:szCs w:val="30"/>
          <w:lang w:val="en" w:eastAsia="zh-CN"/>
        </w:rPr>
        <w:t>万元、年初结转和结余</w:t>
      </w:r>
      <w:r>
        <w:rPr>
          <w:rFonts w:hint="eastAsia" w:eastAsia="仿宋"/>
          <w:color w:val="auto"/>
          <w:sz w:val="30"/>
          <w:szCs w:val="30"/>
          <w:lang w:val="en-US" w:eastAsia="zh-CN"/>
        </w:rPr>
        <w:t>43,821.38万元</w:t>
      </w:r>
      <w:r>
        <w:rPr>
          <w:rFonts w:hint="eastAsia" w:eastAsia="仿宋"/>
          <w:color w:val="auto"/>
          <w:sz w:val="30"/>
          <w:szCs w:val="30"/>
        </w:rPr>
        <w:t>。202</w:t>
      </w:r>
      <w:r>
        <w:rPr>
          <w:rFonts w:eastAsia="仿宋"/>
          <w:color w:val="auto"/>
          <w:sz w:val="30"/>
          <w:szCs w:val="30"/>
        </w:rPr>
        <w:t>1</w:t>
      </w:r>
      <w:r>
        <w:rPr>
          <w:rFonts w:hint="eastAsia" w:eastAsia="仿宋"/>
          <w:color w:val="auto"/>
          <w:sz w:val="30"/>
          <w:szCs w:val="30"/>
        </w:rPr>
        <w:t>年度部门收入决算总额</w:t>
      </w:r>
      <w:r>
        <w:rPr>
          <w:rFonts w:eastAsia="仿宋"/>
          <w:color w:val="auto"/>
          <w:sz w:val="30"/>
          <w:szCs w:val="30"/>
        </w:rPr>
        <w:t>2</w:t>
      </w:r>
      <w:r>
        <w:rPr>
          <w:rFonts w:hint="eastAsia" w:eastAsia="仿宋"/>
          <w:color w:val="auto"/>
          <w:sz w:val="30"/>
          <w:szCs w:val="30"/>
          <w:lang w:val="en-US" w:eastAsia="zh-CN"/>
        </w:rPr>
        <w:t>66</w:t>
      </w:r>
      <w:r>
        <w:rPr>
          <w:rFonts w:eastAsia="仿宋"/>
          <w:color w:val="auto"/>
          <w:sz w:val="30"/>
          <w:szCs w:val="30"/>
        </w:rPr>
        <w:t>,</w:t>
      </w:r>
      <w:r>
        <w:rPr>
          <w:rFonts w:hint="eastAsia" w:eastAsia="仿宋"/>
          <w:color w:val="auto"/>
          <w:sz w:val="30"/>
          <w:szCs w:val="30"/>
          <w:lang w:val="en-US" w:eastAsia="zh-CN"/>
        </w:rPr>
        <w:t>853</w:t>
      </w:r>
      <w:r>
        <w:rPr>
          <w:rFonts w:eastAsia="仿宋"/>
          <w:color w:val="auto"/>
          <w:sz w:val="30"/>
          <w:szCs w:val="30"/>
        </w:rPr>
        <w:t>.</w:t>
      </w:r>
      <w:r>
        <w:rPr>
          <w:rFonts w:hint="eastAsia" w:eastAsia="仿宋"/>
          <w:color w:val="auto"/>
          <w:sz w:val="30"/>
          <w:szCs w:val="30"/>
          <w:lang w:val="en-US" w:eastAsia="zh-CN"/>
        </w:rPr>
        <w:t>29</w:t>
      </w:r>
      <w:r>
        <w:rPr>
          <w:rFonts w:hint="eastAsia" w:eastAsia="仿宋"/>
          <w:color w:val="auto"/>
          <w:sz w:val="30"/>
          <w:szCs w:val="30"/>
        </w:rPr>
        <w:t>万元，其中：财政拨款决算数</w:t>
      </w:r>
      <w:r>
        <w:rPr>
          <w:rFonts w:eastAsia="仿宋"/>
          <w:color w:val="auto"/>
          <w:sz w:val="30"/>
          <w:szCs w:val="30"/>
        </w:rPr>
        <w:t>155,014.22</w:t>
      </w:r>
      <w:r>
        <w:rPr>
          <w:rFonts w:hint="eastAsia" w:eastAsia="仿宋"/>
          <w:color w:val="auto"/>
          <w:sz w:val="30"/>
          <w:szCs w:val="30"/>
        </w:rPr>
        <w:t>万元、事业收入</w:t>
      </w:r>
      <w:r>
        <w:rPr>
          <w:rFonts w:eastAsia="仿宋"/>
          <w:color w:val="auto"/>
          <w:sz w:val="30"/>
          <w:szCs w:val="30"/>
        </w:rPr>
        <w:t>448.22</w:t>
      </w:r>
      <w:r>
        <w:rPr>
          <w:rFonts w:hint="eastAsia" w:eastAsia="仿宋"/>
          <w:color w:val="auto"/>
          <w:sz w:val="30"/>
          <w:szCs w:val="30"/>
        </w:rPr>
        <w:t>万元、经营收入决算数</w:t>
      </w:r>
      <w:r>
        <w:rPr>
          <w:rFonts w:eastAsia="仿宋"/>
          <w:color w:val="auto"/>
          <w:sz w:val="30"/>
          <w:szCs w:val="30"/>
        </w:rPr>
        <w:t>69,851.15</w:t>
      </w:r>
      <w:r>
        <w:rPr>
          <w:rFonts w:hint="eastAsia" w:eastAsia="仿宋"/>
          <w:color w:val="auto"/>
          <w:sz w:val="30"/>
          <w:szCs w:val="30"/>
        </w:rPr>
        <w:t>万元、其他收入决算数</w:t>
      </w:r>
      <w:r>
        <w:rPr>
          <w:rFonts w:eastAsia="仿宋"/>
          <w:color w:val="auto"/>
          <w:sz w:val="30"/>
          <w:szCs w:val="30"/>
        </w:rPr>
        <w:t>233.87</w:t>
      </w:r>
      <w:r>
        <w:rPr>
          <w:rFonts w:hint="eastAsia" w:eastAsia="仿宋"/>
          <w:color w:val="auto"/>
          <w:sz w:val="30"/>
          <w:szCs w:val="30"/>
        </w:rPr>
        <w:t>万元</w:t>
      </w:r>
      <w:r>
        <w:rPr>
          <w:rFonts w:hint="eastAsia" w:eastAsia="仿宋"/>
          <w:color w:val="auto"/>
          <w:sz w:val="30"/>
          <w:szCs w:val="30"/>
          <w:lang w:eastAsia="zh-CN"/>
        </w:rPr>
        <w:t>、使用非财政拨款结余</w:t>
      </w:r>
      <w:r>
        <w:rPr>
          <w:rFonts w:hint="eastAsia" w:eastAsia="仿宋"/>
          <w:color w:val="auto"/>
          <w:sz w:val="30"/>
          <w:szCs w:val="30"/>
          <w:lang w:val="en-US" w:eastAsia="zh-CN"/>
        </w:rPr>
        <w:t>696</w:t>
      </w:r>
      <w:r>
        <w:rPr>
          <w:rFonts w:hint="default" w:eastAsia="仿宋"/>
          <w:color w:val="auto"/>
          <w:sz w:val="30"/>
          <w:szCs w:val="30"/>
          <w:lang w:val="en" w:eastAsia="zh-CN"/>
        </w:rPr>
        <w:t>.</w:t>
      </w:r>
      <w:r>
        <w:rPr>
          <w:rFonts w:hint="eastAsia" w:eastAsia="仿宋"/>
          <w:color w:val="auto"/>
          <w:sz w:val="30"/>
          <w:szCs w:val="30"/>
          <w:lang w:val="en-US" w:eastAsia="zh-CN"/>
        </w:rPr>
        <w:t>8</w:t>
      </w:r>
      <w:r>
        <w:rPr>
          <w:rFonts w:hint="default" w:eastAsia="仿宋"/>
          <w:color w:val="auto"/>
          <w:sz w:val="30"/>
          <w:szCs w:val="30"/>
          <w:lang w:val="en" w:eastAsia="zh-CN"/>
        </w:rPr>
        <w:t>4</w:t>
      </w:r>
      <w:r>
        <w:rPr>
          <w:rFonts w:hint="eastAsia" w:eastAsia="仿宋"/>
          <w:color w:val="auto"/>
          <w:sz w:val="30"/>
          <w:szCs w:val="30"/>
          <w:lang w:val="en" w:eastAsia="zh-CN"/>
        </w:rPr>
        <w:t>万元、年初结转和结余</w:t>
      </w:r>
      <w:r>
        <w:rPr>
          <w:rFonts w:hint="eastAsia" w:eastAsia="仿宋"/>
          <w:color w:val="auto"/>
          <w:sz w:val="30"/>
          <w:szCs w:val="30"/>
          <w:lang w:val="en-US" w:eastAsia="zh-CN"/>
        </w:rPr>
        <w:t>40,608.99万元</w:t>
      </w:r>
      <w:r>
        <w:rPr>
          <w:rFonts w:hint="eastAsia" w:eastAsia="仿宋"/>
          <w:color w:val="auto"/>
          <w:sz w:val="30"/>
          <w:szCs w:val="30"/>
        </w:rPr>
        <w:t>。部门收入预决算差异率</w:t>
      </w:r>
      <w:r>
        <w:rPr>
          <w:rFonts w:hint="default" w:eastAsia="仿宋"/>
          <w:color w:val="auto"/>
          <w:sz w:val="30"/>
          <w:szCs w:val="30"/>
          <w:lang w:val="en"/>
        </w:rPr>
        <w:t>6.28</w:t>
      </w:r>
      <w:r>
        <w:rPr>
          <w:rFonts w:hint="eastAsia" w:eastAsia="仿宋"/>
          <w:color w:val="auto"/>
          <w:sz w:val="30"/>
          <w:szCs w:val="30"/>
        </w:rPr>
        <w:t>%。</w:t>
      </w:r>
    </w:p>
    <w:p>
      <w:pPr>
        <w:adjustRightInd w:val="0"/>
        <w:snapToGrid w:val="0"/>
        <w:spacing w:line="360" w:lineRule="auto"/>
        <w:ind w:firstLine="450" w:firstLineChars="150"/>
        <w:rPr>
          <w:rFonts w:eastAsia="仿宋"/>
          <w:b w:val="0"/>
          <w:bCs w:val="0"/>
          <w:color w:val="auto"/>
          <w:sz w:val="30"/>
          <w:szCs w:val="30"/>
        </w:rPr>
      </w:pPr>
      <w:r>
        <w:rPr>
          <w:rFonts w:eastAsia="仿宋"/>
          <w:b w:val="0"/>
          <w:bCs w:val="0"/>
          <w:color w:val="auto"/>
          <w:sz w:val="30"/>
          <w:szCs w:val="30"/>
        </w:rPr>
        <w:t>2</w:t>
      </w:r>
      <w:r>
        <w:rPr>
          <w:rFonts w:hint="eastAsia" w:eastAsia="仿宋"/>
          <w:b w:val="0"/>
          <w:bCs w:val="0"/>
          <w:color w:val="auto"/>
          <w:sz w:val="30"/>
          <w:szCs w:val="30"/>
        </w:rPr>
        <w:t>.</w:t>
      </w:r>
      <w:r>
        <w:rPr>
          <w:rFonts w:eastAsia="仿宋"/>
          <w:b w:val="0"/>
          <w:bCs w:val="0"/>
          <w:color w:val="auto"/>
          <w:sz w:val="30"/>
          <w:szCs w:val="30"/>
        </w:rPr>
        <w:t xml:space="preserve"> </w:t>
      </w:r>
      <w:r>
        <w:rPr>
          <w:rFonts w:hint="eastAsia" w:eastAsia="仿宋"/>
          <w:b w:val="0"/>
          <w:bCs w:val="0"/>
          <w:color w:val="auto"/>
          <w:sz w:val="30"/>
          <w:szCs w:val="30"/>
        </w:rPr>
        <w:t>部门支出预决算差异率</w:t>
      </w:r>
    </w:p>
    <w:p>
      <w:pPr>
        <w:adjustRightInd w:val="0"/>
        <w:snapToGrid w:val="0"/>
        <w:spacing w:line="360" w:lineRule="auto"/>
        <w:ind w:firstLine="450" w:firstLineChars="150"/>
        <w:rPr>
          <w:rFonts w:hint="eastAsia" w:eastAsia="仿宋"/>
          <w:color w:val="auto"/>
          <w:sz w:val="30"/>
          <w:szCs w:val="30"/>
        </w:rPr>
      </w:pPr>
      <w:r>
        <w:rPr>
          <w:rFonts w:hint="eastAsia" w:eastAsia="仿宋"/>
          <w:color w:val="auto"/>
          <w:sz w:val="30"/>
          <w:szCs w:val="30"/>
        </w:rPr>
        <w:t>市机关事务局202</w:t>
      </w:r>
      <w:r>
        <w:rPr>
          <w:rFonts w:eastAsia="仿宋"/>
          <w:color w:val="auto"/>
          <w:sz w:val="30"/>
          <w:szCs w:val="30"/>
        </w:rPr>
        <w:t>1</w:t>
      </w:r>
      <w:r>
        <w:rPr>
          <w:rFonts w:hint="eastAsia" w:eastAsia="仿宋"/>
          <w:color w:val="auto"/>
          <w:sz w:val="30"/>
          <w:szCs w:val="30"/>
        </w:rPr>
        <w:t>年度</w:t>
      </w:r>
      <w:r>
        <w:rPr>
          <w:rFonts w:hint="eastAsia" w:eastAsia="仿宋"/>
          <w:color w:val="auto"/>
          <w:sz w:val="30"/>
          <w:szCs w:val="30"/>
          <w:lang w:eastAsia="zh-CN"/>
        </w:rPr>
        <w:t>年初</w:t>
      </w:r>
      <w:r>
        <w:rPr>
          <w:rFonts w:hint="eastAsia" w:eastAsia="仿宋"/>
          <w:color w:val="auto"/>
          <w:sz w:val="30"/>
          <w:szCs w:val="30"/>
        </w:rPr>
        <w:t>部门支出预算总额</w:t>
      </w:r>
      <w:r>
        <w:rPr>
          <w:rFonts w:eastAsia="仿宋"/>
          <w:color w:val="auto"/>
          <w:sz w:val="30"/>
          <w:szCs w:val="30"/>
        </w:rPr>
        <w:t>2</w:t>
      </w:r>
      <w:r>
        <w:rPr>
          <w:rFonts w:hint="eastAsia" w:eastAsia="仿宋"/>
          <w:color w:val="auto"/>
          <w:sz w:val="30"/>
          <w:szCs w:val="30"/>
          <w:lang w:val="en-US" w:eastAsia="zh-CN"/>
        </w:rPr>
        <w:t>51</w:t>
      </w:r>
      <w:r>
        <w:rPr>
          <w:rFonts w:eastAsia="仿宋"/>
          <w:color w:val="auto"/>
          <w:sz w:val="30"/>
          <w:szCs w:val="30"/>
        </w:rPr>
        <w:t>,</w:t>
      </w:r>
      <w:r>
        <w:rPr>
          <w:rFonts w:hint="eastAsia" w:eastAsia="仿宋"/>
          <w:color w:val="auto"/>
          <w:sz w:val="30"/>
          <w:szCs w:val="30"/>
          <w:lang w:val="en-US" w:eastAsia="zh-CN"/>
        </w:rPr>
        <w:t>088</w:t>
      </w:r>
      <w:r>
        <w:rPr>
          <w:rFonts w:eastAsia="仿宋"/>
          <w:color w:val="auto"/>
          <w:sz w:val="30"/>
          <w:szCs w:val="30"/>
        </w:rPr>
        <w:t>.</w:t>
      </w:r>
      <w:r>
        <w:rPr>
          <w:rFonts w:hint="eastAsia" w:eastAsia="仿宋"/>
          <w:color w:val="auto"/>
          <w:sz w:val="30"/>
          <w:szCs w:val="30"/>
          <w:lang w:val="en-US" w:eastAsia="zh-CN"/>
        </w:rPr>
        <w:t>34</w:t>
      </w:r>
      <w:r>
        <w:rPr>
          <w:rFonts w:eastAsia="仿宋"/>
          <w:color w:val="auto"/>
          <w:kern w:val="0"/>
          <w:sz w:val="30"/>
          <w:szCs w:val="30"/>
        </w:rPr>
        <w:t>万元，其中</w:t>
      </w:r>
      <w:r>
        <w:rPr>
          <w:rFonts w:hint="eastAsia" w:eastAsia="仿宋"/>
          <w:color w:val="auto"/>
          <w:kern w:val="0"/>
          <w:sz w:val="30"/>
          <w:szCs w:val="30"/>
        </w:rPr>
        <w:t>：</w:t>
      </w:r>
      <w:r>
        <w:rPr>
          <w:rFonts w:hint="eastAsia" w:eastAsia="仿宋"/>
          <w:color w:val="auto"/>
          <w:sz w:val="30"/>
          <w:szCs w:val="30"/>
        </w:rPr>
        <w:t>基本支出预算数</w:t>
      </w:r>
      <w:r>
        <w:rPr>
          <w:rFonts w:eastAsia="仿宋"/>
          <w:color w:val="auto"/>
          <w:kern w:val="0"/>
          <w:sz w:val="30"/>
          <w:szCs w:val="30"/>
        </w:rPr>
        <w:t>8</w:t>
      </w:r>
      <w:r>
        <w:rPr>
          <w:rFonts w:hint="eastAsia" w:eastAsia="仿宋"/>
          <w:color w:val="auto"/>
          <w:kern w:val="0"/>
          <w:sz w:val="30"/>
          <w:szCs w:val="30"/>
          <w:lang w:val="en-US" w:eastAsia="zh-CN"/>
        </w:rPr>
        <w:t>9</w:t>
      </w:r>
      <w:r>
        <w:rPr>
          <w:rFonts w:eastAsia="仿宋"/>
          <w:color w:val="auto"/>
          <w:kern w:val="0"/>
          <w:sz w:val="30"/>
          <w:szCs w:val="30"/>
        </w:rPr>
        <w:t>,6</w:t>
      </w:r>
      <w:r>
        <w:rPr>
          <w:rFonts w:hint="eastAsia" w:eastAsia="仿宋"/>
          <w:color w:val="auto"/>
          <w:kern w:val="0"/>
          <w:sz w:val="30"/>
          <w:szCs w:val="30"/>
          <w:lang w:val="en-US" w:eastAsia="zh-CN"/>
        </w:rPr>
        <w:t>19</w:t>
      </w:r>
      <w:r>
        <w:rPr>
          <w:rFonts w:eastAsia="仿宋"/>
          <w:color w:val="auto"/>
          <w:kern w:val="0"/>
          <w:sz w:val="30"/>
          <w:szCs w:val="30"/>
        </w:rPr>
        <w:t>.</w:t>
      </w:r>
      <w:r>
        <w:rPr>
          <w:rFonts w:hint="eastAsia" w:eastAsia="仿宋"/>
          <w:color w:val="auto"/>
          <w:kern w:val="0"/>
          <w:sz w:val="30"/>
          <w:szCs w:val="30"/>
          <w:lang w:val="en-US" w:eastAsia="zh-CN"/>
        </w:rPr>
        <w:t>99</w:t>
      </w:r>
      <w:r>
        <w:rPr>
          <w:rFonts w:hint="eastAsia" w:eastAsia="仿宋"/>
          <w:color w:val="auto"/>
          <w:sz w:val="30"/>
          <w:szCs w:val="30"/>
        </w:rPr>
        <w:t>万元、项目支出预算数</w:t>
      </w:r>
      <w:r>
        <w:rPr>
          <w:rFonts w:eastAsia="仿宋"/>
          <w:color w:val="auto"/>
          <w:sz w:val="30"/>
          <w:szCs w:val="30"/>
        </w:rPr>
        <w:t>11</w:t>
      </w:r>
      <w:r>
        <w:rPr>
          <w:rFonts w:hint="eastAsia" w:eastAsia="仿宋"/>
          <w:color w:val="auto"/>
          <w:sz w:val="30"/>
          <w:szCs w:val="30"/>
          <w:lang w:val="en-US" w:eastAsia="zh-CN"/>
        </w:rPr>
        <w:t>0</w:t>
      </w:r>
      <w:r>
        <w:rPr>
          <w:rFonts w:eastAsia="仿宋"/>
          <w:color w:val="auto"/>
          <w:sz w:val="30"/>
          <w:szCs w:val="30"/>
        </w:rPr>
        <w:t>,</w:t>
      </w:r>
      <w:r>
        <w:rPr>
          <w:rFonts w:hint="eastAsia" w:eastAsia="仿宋"/>
          <w:color w:val="auto"/>
          <w:sz w:val="30"/>
          <w:szCs w:val="30"/>
          <w:lang w:val="en-US" w:eastAsia="zh-CN"/>
        </w:rPr>
        <w:t>022</w:t>
      </w:r>
      <w:r>
        <w:rPr>
          <w:rFonts w:eastAsia="仿宋"/>
          <w:color w:val="auto"/>
          <w:sz w:val="30"/>
          <w:szCs w:val="30"/>
        </w:rPr>
        <w:t>.</w:t>
      </w:r>
      <w:r>
        <w:rPr>
          <w:rFonts w:hint="eastAsia" w:eastAsia="仿宋"/>
          <w:color w:val="auto"/>
          <w:sz w:val="30"/>
          <w:szCs w:val="30"/>
          <w:lang w:val="en-US" w:eastAsia="zh-CN"/>
        </w:rPr>
        <w:t>67</w:t>
      </w:r>
      <w:r>
        <w:rPr>
          <w:rFonts w:hint="eastAsia" w:eastAsia="仿宋"/>
          <w:color w:val="auto"/>
          <w:sz w:val="30"/>
          <w:szCs w:val="30"/>
        </w:rPr>
        <w:t>万元、经营支出预算数</w:t>
      </w:r>
      <w:r>
        <w:rPr>
          <w:rFonts w:hint="eastAsia" w:eastAsia="仿宋"/>
          <w:color w:val="auto"/>
          <w:sz w:val="30"/>
          <w:szCs w:val="30"/>
          <w:lang w:val="en-US" w:eastAsia="zh-CN"/>
        </w:rPr>
        <w:t>51</w:t>
      </w:r>
      <w:r>
        <w:rPr>
          <w:rFonts w:eastAsia="仿宋"/>
          <w:color w:val="auto"/>
          <w:sz w:val="30"/>
          <w:szCs w:val="30"/>
        </w:rPr>
        <w:t>,</w:t>
      </w:r>
      <w:r>
        <w:rPr>
          <w:rFonts w:hint="eastAsia" w:eastAsia="仿宋"/>
          <w:color w:val="auto"/>
          <w:sz w:val="30"/>
          <w:szCs w:val="30"/>
          <w:lang w:val="en-US" w:eastAsia="zh-CN"/>
        </w:rPr>
        <w:t>445</w:t>
      </w:r>
      <w:r>
        <w:rPr>
          <w:rFonts w:eastAsia="仿宋"/>
          <w:color w:val="auto"/>
          <w:sz w:val="30"/>
          <w:szCs w:val="30"/>
        </w:rPr>
        <w:t>.</w:t>
      </w:r>
      <w:r>
        <w:rPr>
          <w:rFonts w:hint="eastAsia" w:eastAsia="仿宋"/>
          <w:color w:val="auto"/>
          <w:sz w:val="30"/>
          <w:szCs w:val="30"/>
          <w:lang w:val="en-US" w:eastAsia="zh-CN"/>
        </w:rPr>
        <w:t>68</w:t>
      </w:r>
      <w:r>
        <w:rPr>
          <w:rFonts w:hint="eastAsia" w:eastAsia="仿宋"/>
          <w:color w:val="auto"/>
          <w:sz w:val="30"/>
          <w:szCs w:val="30"/>
        </w:rPr>
        <w:t>万元。202</w:t>
      </w:r>
      <w:r>
        <w:rPr>
          <w:rFonts w:eastAsia="仿宋"/>
          <w:color w:val="auto"/>
          <w:sz w:val="30"/>
          <w:szCs w:val="30"/>
        </w:rPr>
        <w:t>1</w:t>
      </w:r>
      <w:r>
        <w:rPr>
          <w:rFonts w:hint="eastAsia" w:eastAsia="仿宋"/>
          <w:color w:val="auto"/>
          <w:sz w:val="30"/>
          <w:szCs w:val="30"/>
        </w:rPr>
        <w:t>年部门支出决算总额</w:t>
      </w:r>
      <w:r>
        <w:rPr>
          <w:rFonts w:eastAsia="仿宋"/>
          <w:color w:val="auto"/>
          <w:kern w:val="0"/>
          <w:sz w:val="30"/>
          <w:szCs w:val="30"/>
        </w:rPr>
        <w:t>251,990.06万元，其中，基本支出</w:t>
      </w:r>
      <w:r>
        <w:rPr>
          <w:rFonts w:hint="eastAsia" w:eastAsia="仿宋"/>
          <w:color w:val="auto"/>
          <w:kern w:val="0"/>
          <w:sz w:val="30"/>
          <w:szCs w:val="30"/>
        </w:rPr>
        <w:t>实际数</w:t>
      </w:r>
      <w:r>
        <w:rPr>
          <w:rFonts w:eastAsia="仿宋"/>
          <w:color w:val="auto"/>
          <w:kern w:val="0"/>
          <w:sz w:val="30"/>
          <w:szCs w:val="30"/>
        </w:rPr>
        <w:t>82,890.43万元，项目支出</w:t>
      </w:r>
      <w:r>
        <w:rPr>
          <w:rFonts w:hint="eastAsia" w:eastAsia="仿宋"/>
          <w:color w:val="auto"/>
          <w:kern w:val="0"/>
          <w:sz w:val="30"/>
          <w:szCs w:val="30"/>
        </w:rPr>
        <w:t>实际数</w:t>
      </w:r>
      <w:r>
        <w:rPr>
          <w:rFonts w:eastAsia="仿宋"/>
          <w:color w:val="auto"/>
          <w:kern w:val="0"/>
          <w:sz w:val="30"/>
          <w:szCs w:val="30"/>
        </w:rPr>
        <w:t>110,329.20万元，</w:t>
      </w:r>
      <w:r>
        <w:rPr>
          <w:rFonts w:hint="eastAsia" w:eastAsia="仿宋"/>
          <w:color w:val="auto"/>
          <w:sz w:val="30"/>
          <w:szCs w:val="30"/>
        </w:rPr>
        <w:t>经营支出</w:t>
      </w:r>
      <w:r>
        <w:rPr>
          <w:rFonts w:hint="eastAsia" w:eastAsia="仿宋"/>
          <w:color w:val="auto"/>
          <w:kern w:val="0"/>
          <w:sz w:val="30"/>
          <w:szCs w:val="30"/>
        </w:rPr>
        <w:t>实际数</w:t>
      </w:r>
      <w:r>
        <w:rPr>
          <w:rFonts w:eastAsia="仿宋"/>
          <w:color w:val="auto"/>
          <w:kern w:val="0"/>
          <w:sz w:val="30"/>
          <w:szCs w:val="30"/>
        </w:rPr>
        <w:t>58,770.44万元</w:t>
      </w:r>
      <w:r>
        <w:rPr>
          <w:rFonts w:hint="eastAsia" w:eastAsia="仿宋"/>
          <w:color w:val="auto"/>
          <w:sz w:val="30"/>
          <w:szCs w:val="30"/>
        </w:rPr>
        <w:t>。部门支出预决算差异率</w:t>
      </w:r>
      <w:r>
        <w:rPr>
          <w:rFonts w:hint="eastAsia" w:eastAsia="仿宋"/>
          <w:color w:val="auto"/>
          <w:sz w:val="30"/>
          <w:szCs w:val="30"/>
          <w:lang w:val="en-US" w:eastAsia="zh-CN"/>
        </w:rPr>
        <w:t>0</w:t>
      </w:r>
      <w:r>
        <w:rPr>
          <w:rFonts w:hint="eastAsia" w:eastAsia="仿宋"/>
          <w:color w:val="auto"/>
          <w:sz w:val="30"/>
          <w:szCs w:val="30"/>
        </w:rPr>
        <w:t>.</w:t>
      </w:r>
      <w:r>
        <w:rPr>
          <w:rFonts w:hint="eastAsia" w:eastAsia="仿宋"/>
          <w:color w:val="auto"/>
          <w:sz w:val="30"/>
          <w:szCs w:val="30"/>
          <w:lang w:val="en-US" w:eastAsia="zh-CN"/>
        </w:rPr>
        <w:t>36</w:t>
      </w:r>
      <w:r>
        <w:rPr>
          <w:rFonts w:hint="eastAsia" w:eastAsia="仿宋"/>
          <w:color w:val="auto"/>
          <w:sz w:val="30"/>
          <w:szCs w:val="30"/>
        </w:rPr>
        <w:t>%。</w:t>
      </w:r>
    </w:p>
    <w:p>
      <w:pPr>
        <w:adjustRightInd w:val="0"/>
        <w:snapToGrid w:val="0"/>
        <w:spacing w:line="360" w:lineRule="auto"/>
        <w:ind w:firstLine="450" w:firstLineChars="150"/>
        <w:rPr>
          <w:rFonts w:hint="eastAsia" w:ascii="黑体" w:hAnsi="黑体" w:eastAsia="黑体" w:cs="黑体"/>
          <w:b w:val="0"/>
          <w:bCs w:val="0"/>
          <w:color w:val="auto"/>
          <w:sz w:val="30"/>
          <w:szCs w:val="30"/>
        </w:rPr>
      </w:pPr>
      <w:r>
        <w:rPr>
          <w:rFonts w:hint="eastAsia" w:eastAsia="仿宋"/>
          <w:color w:val="auto"/>
          <w:sz w:val="30"/>
          <w:szCs w:val="30"/>
          <w:lang w:val="en-US" w:eastAsia="zh-CN"/>
        </w:rPr>
        <w:t xml:space="preserve"> </w:t>
      </w:r>
      <w:r>
        <w:rPr>
          <w:rFonts w:hint="eastAsia" w:ascii="黑体" w:hAnsi="黑体" w:eastAsia="黑体" w:cs="黑体"/>
          <w:b w:val="0"/>
          <w:bCs w:val="0"/>
          <w:color w:val="auto"/>
          <w:sz w:val="30"/>
          <w:szCs w:val="30"/>
        </w:rPr>
        <w:t>五、总体评价结论</w:t>
      </w:r>
    </w:p>
    <w:p>
      <w:pPr>
        <w:adjustRightInd w:val="0"/>
        <w:snapToGrid w:val="0"/>
        <w:spacing w:line="360" w:lineRule="auto"/>
        <w:ind w:firstLine="450" w:firstLineChars="15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（一）评价得分情况</w:t>
      </w:r>
    </w:p>
    <w:p>
      <w:pPr>
        <w:adjustRightInd w:val="0"/>
        <w:snapToGrid w:val="0"/>
        <w:spacing w:line="360" w:lineRule="auto"/>
        <w:ind w:firstLine="600" w:firstLineChars="200"/>
        <w:rPr>
          <w:rFonts w:eastAsia="仿宋"/>
          <w:color w:val="auto"/>
          <w:kern w:val="0"/>
          <w:sz w:val="30"/>
          <w:szCs w:val="30"/>
        </w:rPr>
      </w:pPr>
      <w:r>
        <w:rPr>
          <w:rFonts w:hint="eastAsia" w:eastAsia="仿宋"/>
          <w:color w:val="auto"/>
          <w:kern w:val="0"/>
          <w:sz w:val="30"/>
          <w:szCs w:val="30"/>
        </w:rPr>
        <w:t>2</w:t>
      </w:r>
      <w:r>
        <w:rPr>
          <w:rFonts w:eastAsia="仿宋"/>
          <w:color w:val="auto"/>
          <w:kern w:val="0"/>
          <w:sz w:val="30"/>
          <w:szCs w:val="30"/>
        </w:rPr>
        <w:t>021</w:t>
      </w:r>
      <w:r>
        <w:rPr>
          <w:rFonts w:hint="eastAsia" w:eastAsia="仿宋"/>
          <w:color w:val="auto"/>
          <w:kern w:val="0"/>
          <w:sz w:val="30"/>
          <w:szCs w:val="30"/>
        </w:rPr>
        <w:t>年，市机关事务局在市委市政府的正确领导下，强化工作定位，优化管理效能，较好地完成了全年各项工作目标任务。根据市财政局制定的部门整体支出绩效评价指标体系框架及评分标准，同时结合市机关事务局的实际情况，经综合评价后</w:t>
      </w:r>
      <w:r>
        <w:rPr>
          <w:rFonts w:eastAsia="仿宋"/>
          <w:color w:val="auto"/>
          <w:kern w:val="0"/>
          <w:sz w:val="30"/>
          <w:szCs w:val="30"/>
        </w:rPr>
        <w:t>，</w:t>
      </w:r>
      <w:r>
        <w:rPr>
          <w:rFonts w:hint="eastAsia" w:eastAsia="仿宋"/>
          <w:color w:val="auto"/>
          <w:kern w:val="0"/>
          <w:sz w:val="30"/>
          <w:szCs w:val="30"/>
        </w:rPr>
        <w:t>市机关事务局的部门整体绩效评价综合得分</w:t>
      </w:r>
      <w:r>
        <w:rPr>
          <w:rFonts w:eastAsia="仿宋"/>
          <w:color w:val="auto"/>
          <w:kern w:val="0"/>
          <w:sz w:val="30"/>
          <w:szCs w:val="30"/>
        </w:rPr>
        <w:t>97.31</w:t>
      </w:r>
      <w:r>
        <w:rPr>
          <w:rFonts w:hint="eastAsia" w:eastAsia="仿宋"/>
          <w:color w:val="auto"/>
          <w:kern w:val="0"/>
          <w:sz w:val="30"/>
          <w:szCs w:val="30"/>
        </w:rPr>
        <w:t>分，绩效级别评定为“优”</w:t>
      </w:r>
      <w:r>
        <w:rPr>
          <w:rFonts w:hint="eastAsia" w:eastAsia="仿宋"/>
          <w:bCs/>
          <w:color w:val="auto"/>
          <w:kern w:val="0"/>
          <w:sz w:val="30"/>
          <w:szCs w:val="30"/>
        </w:rPr>
        <w:t>（详见附件）</w:t>
      </w:r>
      <w:r>
        <w:rPr>
          <w:rFonts w:hint="eastAsia" w:eastAsia="仿宋"/>
          <w:color w:val="auto"/>
          <w:kern w:val="0"/>
          <w:sz w:val="30"/>
          <w:szCs w:val="30"/>
        </w:rPr>
        <w:t>。有关绩效评价结论，如下表所示：</w:t>
      </w:r>
    </w:p>
    <w:tbl>
      <w:tblPr>
        <w:tblStyle w:val="5"/>
        <w:tblW w:w="0" w:type="auto"/>
        <w:tblInd w:w="0" w:type="dxa"/>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3539"/>
        <w:gridCol w:w="2652"/>
        <w:gridCol w:w="3096"/>
      </w:tblGrid>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评价内容</w:t>
            </w:r>
          </w:p>
        </w:tc>
        <w:tc>
          <w:tcPr>
            <w:tcW w:w="2652"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分值</w:t>
            </w:r>
          </w:p>
        </w:tc>
        <w:tc>
          <w:tcPr>
            <w:tcW w:w="3096"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评价得分</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eastAsia="仿宋"/>
                <w:color w:val="auto"/>
                <w:sz w:val="30"/>
                <w:szCs w:val="30"/>
              </w:rPr>
            </w:pPr>
            <w:r>
              <w:rPr>
                <w:rFonts w:hint="eastAsia" w:eastAsia="仿宋"/>
                <w:color w:val="auto"/>
                <w:sz w:val="30"/>
                <w:szCs w:val="30"/>
              </w:rPr>
              <w:t>当年预算执行情况</w:t>
            </w:r>
          </w:p>
        </w:tc>
        <w:tc>
          <w:tcPr>
            <w:tcW w:w="2652"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2</w:t>
            </w:r>
            <w:r>
              <w:rPr>
                <w:rFonts w:eastAsia="仿宋"/>
                <w:color w:val="auto"/>
                <w:sz w:val="30"/>
                <w:szCs w:val="30"/>
              </w:rPr>
              <w:t>0</w:t>
            </w:r>
          </w:p>
        </w:tc>
        <w:tc>
          <w:tcPr>
            <w:tcW w:w="3096" w:type="dxa"/>
            <w:vAlign w:val="center"/>
          </w:tcPr>
          <w:p>
            <w:pPr>
              <w:adjustRightInd w:val="0"/>
              <w:snapToGrid w:val="0"/>
              <w:spacing w:line="320" w:lineRule="exact"/>
              <w:jc w:val="center"/>
              <w:rPr>
                <w:rFonts w:eastAsia="仿宋"/>
                <w:color w:val="auto"/>
                <w:sz w:val="30"/>
                <w:szCs w:val="30"/>
              </w:rPr>
            </w:pPr>
            <w:r>
              <w:rPr>
                <w:rFonts w:eastAsia="仿宋"/>
                <w:color w:val="auto"/>
                <w:sz w:val="30"/>
                <w:szCs w:val="30"/>
              </w:rPr>
              <w:t xml:space="preserve"> </w:t>
            </w:r>
            <w:r>
              <w:rPr>
                <w:rFonts w:hint="eastAsia" w:eastAsia="仿宋"/>
                <w:color w:val="auto"/>
                <w:sz w:val="30"/>
                <w:szCs w:val="30"/>
              </w:rPr>
              <w:t>1</w:t>
            </w:r>
            <w:r>
              <w:rPr>
                <w:rFonts w:eastAsia="仿宋"/>
                <w:color w:val="auto"/>
                <w:sz w:val="30"/>
                <w:szCs w:val="30"/>
              </w:rPr>
              <w:t>8</w:t>
            </w:r>
            <w:r>
              <w:rPr>
                <w:rFonts w:hint="eastAsia" w:eastAsia="仿宋"/>
                <w:color w:val="auto"/>
                <w:sz w:val="30"/>
                <w:szCs w:val="30"/>
              </w:rPr>
              <w:t>.</w:t>
            </w:r>
            <w:r>
              <w:rPr>
                <w:rFonts w:eastAsia="仿宋"/>
                <w:color w:val="auto"/>
                <w:sz w:val="30"/>
                <w:szCs w:val="30"/>
              </w:rPr>
              <w:t>86</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eastAsia="仿宋"/>
                <w:color w:val="auto"/>
                <w:sz w:val="30"/>
                <w:szCs w:val="30"/>
              </w:rPr>
            </w:pPr>
            <w:r>
              <w:rPr>
                <w:rFonts w:hint="eastAsia" w:eastAsia="仿宋"/>
                <w:color w:val="auto"/>
                <w:sz w:val="30"/>
                <w:szCs w:val="30"/>
              </w:rPr>
              <w:t>整体绩效目标实现情况</w:t>
            </w:r>
          </w:p>
        </w:tc>
        <w:tc>
          <w:tcPr>
            <w:tcW w:w="2652"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6</w:t>
            </w:r>
            <w:r>
              <w:rPr>
                <w:rFonts w:eastAsia="仿宋"/>
                <w:color w:val="auto"/>
                <w:sz w:val="30"/>
                <w:szCs w:val="30"/>
              </w:rPr>
              <w:t>0</w:t>
            </w:r>
          </w:p>
        </w:tc>
        <w:tc>
          <w:tcPr>
            <w:tcW w:w="3096" w:type="dxa"/>
            <w:vAlign w:val="center"/>
          </w:tcPr>
          <w:p>
            <w:pPr>
              <w:adjustRightInd w:val="0"/>
              <w:snapToGrid w:val="0"/>
              <w:spacing w:line="320" w:lineRule="exact"/>
              <w:jc w:val="center"/>
              <w:rPr>
                <w:rFonts w:eastAsia="仿宋"/>
                <w:color w:val="auto"/>
                <w:sz w:val="30"/>
                <w:szCs w:val="30"/>
              </w:rPr>
            </w:pPr>
            <w:r>
              <w:rPr>
                <w:rFonts w:eastAsia="仿宋"/>
                <w:color w:val="auto"/>
                <w:sz w:val="30"/>
                <w:szCs w:val="30"/>
              </w:rPr>
              <w:t xml:space="preserve"> </w:t>
            </w:r>
            <w:r>
              <w:rPr>
                <w:rFonts w:hint="eastAsia" w:eastAsia="仿宋"/>
                <w:color w:val="auto"/>
                <w:sz w:val="30"/>
                <w:szCs w:val="30"/>
              </w:rPr>
              <w:t>5</w:t>
            </w:r>
            <w:r>
              <w:rPr>
                <w:rFonts w:eastAsia="仿宋"/>
                <w:color w:val="auto"/>
                <w:sz w:val="30"/>
                <w:szCs w:val="30"/>
              </w:rPr>
              <w:t>4</w:t>
            </w:r>
            <w:r>
              <w:rPr>
                <w:rFonts w:hint="eastAsia" w:eastAsia="仿宋"/>
                <w:color w:val="auto"/>
                <w:sz w:val="30"/>
                <w:szCs w:val="30"/>
              </w:rPr>
              <w:t>.</w:t>
            </w:r>
            <w:r>
              <w:rPr>
                <w:rFonts w:eastAsia="仿宋"/>
                <w:color w:val="auto"/>
                <w:sz w:val="30"/>
                <w:szCs w:val="30"/>
              </w:rPr>
              <w:t>50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eastAsia="仿宋"/>
                <w:color w:val="auto"/>
                <w:sz w:val="30"/>
                <w:szCs w:val="30"/>
              </w:rPr>
            </w:pPr>
            <w:r>
              <w:rPr>
                <w:rFonts w:hint="eastAsia" w:eastAsia="仿宋"/>
                <w:color w:val="auto"/>
                <w:sz w:val="30"/>
                <w:szCs w:val="30"/>
              </w:rPr>
              <w:t>预算管理情况</w:t>
            </w:r>
          </w:p>
        </w:tc>
        <w:tc>
          <w:tcPr>
            <w:tcW w:w="2652"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2</w:t>
            </w:r>
            <w:r>
              <w:rPr>
                <w:rFonts w:eastAsia="仿宋"/>
                <w:color w:val="auto"/>
                <w:sz w:val="30"/>
                <w:szCs w:val="30"/>
              </w:rPr>
              <w:t>0</w:t>
            </w:r>
          </w:p>
        </w:tc>
        <w:tc>
          <w:tcPr>
            <w:tcW w:w="3096" w:type="dxa"/>
            <w:vAlign w:val="center"/>
          </w:tcPr>
          <w:p>
            <w:pPr>
              <w:adjustRightInd w:val="0"/>
              <w:snapToGrid w:val="0"/>
              <w:spacing w:line="320" w:lineRule="exact"/>
              <w:jc w:val="center"/>
              <w:rPr>
                <w:rFonts w:eastAsia="仿宋"/>
                <w:color w:val="auto"/>
                <w:sz w:val="30"/>
                <w:szCs w:val="30"/>
              </w:rPr>
            </w:pPr>
            <w:r>
              <w:rPr>
                <w:rFonts w:eastAsia="仿宋"/>
                <w:color w:val="auto"/>
                <w:sz w:val="30"/>
                <w:szCs w:val="30"/>
              </w:rPr>
              <w:t xml:space="preserve"> </w:t>
            </w:r>
            <w:r>
              <w:rPr>
                <w:rFonts w:hint="eastAsia" w:eastAsia="仿宋"/>
                <w:color w:val="auto"/>
                <w:sz w:val="30"/>
                <w:szCs w:val="30"/>
              </w:rPr>
              <w:t>1</w:t>
            </w:r>
            <w:r>
              <w:rPr>
                <w:rFonts w:eastAsia="仿宋"/>
                <w:color w:val="auto"/>
                <w:sz w:val="30"/>
                <w:szCs w:val="30"/>
              </w:rPr>
              <w:t>8</w:t>
            </w:r>
            <w:r>
              <w:rPr>
                <w:rFonts w:hint="eastAsia" w:eastAsia="仿宋"/>
                <w:color w:val="auto"/>
                <w:sz w:val="30"/>
                <w:szCs w:val="30"/>
              </w:rPr>
              <w:t>.</w:t>
            </w:r>
            <w:r>
              <w:rPr>
                <w:rFonts w:eastAsia="仿宋"/>
                <w:color w:val="auto"/>
                <w:sz w:val="30"/>
                <w:szCs w:val="30"/>
              </w:rPr>
              <w:t>20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合 计</w:t>
            </w:r>
          </w:p>
        </w:tc>
        <w:tc>
          <w:tcPr>
            <w:tcW w:w="2652"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1</w:t>
            </w:r>
            <w:r>
              <w:rPr>
                <w:rFonts w:eastAsia="仿宋"/>
                <w:color w:val="auto"/>
                <w:sz w:val="30"/>
                <w:szCs w:val="30"/>
              </w:rPr>
              <w:t>00</w:t>
            </w:r>
          </w:p>
        </w:tc>
        <w:tc>
          <w:tcPr>
            <w:tcW w:w="3096" w:type="dxa"/>
            <w:vAlign w:val="center"/>
          </w:tcPr>
          <w:p>
            <w:pPr>
              <w:adjustRightInd w:val="0"/>
              <w:snapToGrid w:val="0"/>
              <w:spacing w:line="320" w:lineRule="exact"/>
              <w:jc w:val="center"/>
              <w:rPr>
                <w:rFonts w:eastAsia="仿宋"/>
                <w:color w:val="auto"/>
                <w:sz w:val="30"/>
                <w:szCs w:val="30"/>
              </w:rPr>
            </w:pPr>
            <w:r>
              <w:rPr>
                <w:rFonts w:eastAsia="仿宋"/>
                <w:color w:val="auto"/>
                <w:sz w:val="30"/>
                <w:szCs w:val="30"/>
              </w:rPr>
              <w:t xml:space="preserve"> 91</w:t>
            </w:r>
            <w:r>
              <w:rPr>
                <w:rFonts w:hint="eastAsia" w:eastAsia="仿宋"/>
                <w:color w:val="auto"/>
                <w:sz w:val="30"/>
                <w:szCs w:val="30"/>
              </w:rPr>
              <w:t>.</w:t>
            </w:r>
            <w:r>
              <w:rPr>
                <w:rFonts w:eastAsia="仿宋"/>
                <w:color w:val="auto"/>
                <w:sz w:val="30"/>
                <w:szCs w:val="30"/>
              </w:rPr>
              <w:t>56</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绩效评定级别</w:t>
            </w:r>
          </w:p>
        </w:tc>
        <w:tc>
          <w:tcPr>
            <w:tcW w:w="5748" w:type="dxa"/>
            <w:gridSpan w:val="2"/>
            <w:vAlign w:val="center"/>
          </w:tcPr>
          <w:p>
            <w:pPr>
              <w:adjustRightInd w:val="0"/>
              <w:snapToGrid w:val="0"/>
              <w:spacing w:line="320" w:lineRule="exact"/>
              <w:jc w:val="center"/>
              <w:rPr>
                <w:rFonts w:eastAsia="仿宋"/>
                <w:color w:val="auto"/>
                <w:sz w:val="30"/>
                <w:szCs w:val="30"/>
              </w:rPr>
            </w:pPr>
            <w:r>
              <w:rPr>
                <w:rFonts w:hint="eastAsia" w:eastAsia="仿宋"/>
                <w:color w:val="auto"/>
                <w:sz w:val="30"/>
                <w:szCs w:val="30"/>
              </w:rPr>
              <w:t>优</w:t>
            </w:r>
          </w:p>
        </w:tc>
      </w:tr>
    </w:tbl>
    <w:p>
      <w:pPr>
        <w:adjustRightInd w:val="0"/>
        <w:snapToGrid w:val="0"/>
        <w:spacing w:before="156" w:beforeLines="50" w:line="360" w:lineRule="auto"/>
        <w:ind w:firstLine="600" w:firstLineChars="200"/>
        <w:rPr>
          <w:rFonts w:hint="eastAsia" w:ascii="方正楷体简体" w:hAnsi="方正楷体简体" w:eastAsia="方正楷体简体" w:cs="方正楷体简体"/>
          <w:b w:val="0"/>
          <w:bCs w:val="0"/>
          <w:color w:val="auto"/>
          <w:sz w:val="30"/>
          <w:szCs w:val="30"/>
        </w:rPr>
      </w:pPr>
      <w:r>
        <w:rPr>
          <w:rFonts w:hint="eastAsia" w:ascii="方正楷体简体" w:hAnsi="方正楷体简体" w:eastAsia="方正楷体简体" w:cs="方正楷体简体"/>
          <w:b w:val="0"/>
          <w:bCs w:val="0"/>
          <w:color w:val="auto"/>
          <w:sz w:val="30"/>
          <w:szCs w:val="30"/>
        </w:rPr>
        <w:t>（二）存在的问题及原因分析</w:t>
      </w:r>
    </w:p>
    <w:p>
      <w:pPr>
        <w:adjustRightInd w:val="0"/>
        <w:snapToGrid w:val="0"/>
        <w:spacing w:line="360" w:lineRule="auto"/>
        <w:ind w:firstLine="600" w:firstLineChars="200"/>
        <w:rPr>
          <w:rFonts w:eastAsia="仿宋"/>
          <w:color w:val="auto"/>
          <w:sz w:val="30"/>
          <w:szCs w:val="30"/>
        </w:rPr>
      </w:pPr>
      <w:r>
        <w:rPr>
          <w:rFonts w:hint="eastAsia" w:eastAsia="仿宋"/>
          <w:color w:val="auto"/>
          <w:sz w:val="30"/>
          <w:szCs w:val="30"/>
        </w:rPr>
        <w:t>1.</w:t>
      </w:r>
      <w:r>
        <w:rPr>
          <w:rFonts w:eastAsia="仿宋"/>
          <w:color w:val="auto"/>
          <w:sz w:val="30"/>
          <w:szCs w:val="30"/>
        </w:rPr>
        <w:t xml:space="preserve"> </w:t>
      </w:r>
      <w:r>
        <w:rPr>
          <w:rFonts w:hint="eastAsia" w:eastAsia="仿宋"/>
          <w:color w:val="auto"/>
          <w:sz w:val="30"/>
          <w:szCs w:val="30"/>
        </w:rPr>
        <w:t>预算绩效管理工作仍有待进一步加强。目前，市机关事务局全面预算绩效管理工作仍处于探索和逐步完善阶段，尚未根据往年工作开展情况及行业政策要求，建立健全本部门绩效目标管理体系，在项目实施过程中的指导性有待进一步加强。</w:t>
      </w:r>
    </w:p>
    <w:p>
      <w:pPr>
        <w:adjustRightInd w:val="0"/>
        <w:snapToGrid w:val="0"/>
        <w:spacing w:line="360" w:lineRule="auto"/>
        <w:ind w:firstLine="600" w:firstLineChars="200"/>
        <w:rPr>
          <w:rFonts w:hint="eastAsia" w:eastAsia="仿宋"/>
          <w:color w:val="auto"/>
          <w:sz w:val="30"/>
          <w:szCs w:val="30"/>
        </w:rPr>
      </w:pPr>
      <w:r>
        <w:rPr>
          <w:rFonts w:hint="eastAsia" w:eastAsia="仿宋"/>
          <w:color w:val="auto"/>
          <w:sz w:val="30"/>
          <w:szCs w:val="30"/>
        </w:rPr>
        <w:t>2.</w:t>
      </w:r>
      <w:r>
        <w:rPr>
          <w:rFonts w:eastAsia="仿宋"/>
          <w:color w:val="auto"/>
          <w:sz w:val="30"/>
          <w:szCs w:val="30"/>
        </w:rPr>
        <w:t xml:space="preserve"> </w:t>
      </w:r>
      <w:r>
        <w:rPr>
          <w:rFonts w:hint="eastAsia" w:eastAsia="仿宋"/>
          <w:color w:val="auto"/>
          <w:sz w:val="30"/>
          <w:szCs w:val="30"/>
        </w:rPr>
        <w:t>部门整体绩效目标设定不够全面规范，未按照相关要求设定质量指标、时效指标及效益指标，不利于全方位反映部门整体绩效目标实现情况，有待进一步改进与完善。</w:t>
      </w:r>
    </w:p>
    <w:p>
      <w:pPr>
        <w:adjustRightInd w:val="0"/>
        <w:snapToGrid w:val="0"/>
        <w:spacing w:line="360" w:lineRule="auto"/>
        <w:ind w:firstLine="600" w:firstLineChars="200"/>
        <w:rPr>
          <w:rFonts w:hint="eastAsia" w:ascii="黑体" w:hAnsi="黑体" w:eastAsia="黑体" w:cs="黑体"/>
          <w:b w:val="0"/>
          <w:bCs w:val="0"/>
          <w:color w:val="auto"/>
          <w:kern w:val="0"/>
          <w:sz w:val="30"/>
          <w:szCs w:val="30"/>
        </w:rPr>
      </w:pPr>
      <w:r>
        <w:rPr>
          <w:rFonts w:hint="eastAsia" w:ascii="黑体" w:hAnsi="黑体" w:eastAsia="黑体" w:cs="黑体"/>
          <w:b w:val="0"/>
          <w:bCs w:val="0"/>
          <w:color w:val="auto"/>
          <w:kern w:val="0"/>
          <w:sz w:val="30"/>
          <w:szCs w:val="30"/>
        </w:rPr>
        <w:t>六、措施建议</w:t>
      </w:r>
    </w:p>
    <w:p>
      <w:pPr>
        <w:adjustRightInd w:val="0"/>
        <w:snapToGrid w:val="0"/>
        <w:spacing w:line="360" w:lineRule="auto"/>
        <w:ind w:firstLine="600" w:firstLineChars="200"/>
        <w:rPr>
          <w:rFonts w:eastAsia="仿宋"/>
          <w:color w:val="auto"/>
          <w:sz w:val="30"/>
          <w:szCs w:val="30"/>
        </w:rPr>
      </w:pPr>
      <w:r>
        <w:rPr>
          <w:rFonts w:hint="eastAsia" w:ascii="方正楷体简体" w:hAnsi="方正楷体简体" w:eastAsia="方正楷体简体" w:cs="方正楷体简体"/>
          <w:color w:val="auto"/>
          <w:sz w:val="30"/>
          <w:szCs w:val="30"/>
        </w:rPr>
        <w:t>（一）进一步加强全面预算绩效管理工作。</w:t>
      </w:r>
      <w:r>
        <w:rPr>
          <w:rFonts w:hint="eastAsia" w:eastAsia="仿宋"/>
          <w:color w:val="auto"/>
          <w:sz w:val="30"/>
          <w:szCs w:val="30"/>
        </w:rPr>
        <w:t>在本次绩效评价工作的基础上，市机关事务局将组织各业务部门积极探索机关事务管理与预算绩效管理相融合的模式。同时，在以后年度的绩效目标编制和考核过程中，加大业务部门的参与度，以各项业务工作开展的具体政策文件、合同等要素为依据，编制更加适当的、贴合项目支出方向的细化量化、可考核的绩效目标。</w:t>
      </w:r>
    </w:p>
    <w:p>
      <w:pPr>
        <w:adjustRightInd w:val="0"/>
        <w:snapToGrid w:val="0"/>
        <w:spacing w:line="360" w:lineRule="auto"/>
        <w:ind w:firstLine="600" w:firstLineChars="200"/>
        <w:rPr>
          <w:rFonts w:eastAsia="仿宋"/>
          <w:color w:val="auto"/>
          <w:sz w:val="30"/>
          <w:szCs w:val="30"/>
        </w:rPr>
      </w:pPr>
      <w:r>
        <w:rPr>
          <w:rFonts w:hint="eastAsia" w:ascii="方正楷体简体" w:hAnsi="方正楷体简体" w:eastAsia="方正楷体简体" w:cs="方正楷体简体"/>
          <w:color w:val="auto"/>
          <w:sz w:val="30"/>
          <w:szCs w:val="30"/>
        </w:rPr>
        <w:t>（二）进一步强化成本绩效意识，建立和完善绩效指标和标准体系。</w:t>
      </w:r>
      <w:r>
        <w:rPr>
          <w:rFonts w:hint="eastAsia" w:eastAsia="仿宋"/>
          <w:color w:val="auto"/>
          <w:sz w:val="30"/>
          <w:szCs w:val="30"/>
        </w:rPr>
        <w:t>严格按照市财政的相关规定，依据历年支出情况，参照中央主管部门分行业分领域核心指标设置情况，对照预算管理一体化系统中的绩效指标库，梳理本部门预算支出核心绩效指标及绩效标准，找出体现本部门特点的关键核心绩效指标，建立健全本部门的绩效指标和标准体系，并按要求进行动态管理，切实发挥绩效目标的引导作用。</w:t>
      </w:r>
    </w:p>
    <w:p>
      <w:pPr>
        <w:adjustRightInd w:val="0"/>
        <w:snapToGrid w:val="0"/>
        <w:spacing w:line="360" w:lineRule="auto"/>
        <w:ind w:firstLine="600" w:firstLineChars="200"/>
        <w:rPr>
          <w:rFonts w:eastAsia="仿宋"/>
          <w:color w:val="auto"/>
          <w:sz w:val="30"/>
          <w:szCs w:val="30"/>
        </w:rPr>
      </w:pPr>
    </w:p>
    <w:sectPr>
      <w:footerReference r:id="rId3" w:type="default"/>
      <w:pgSz w:w="11906" w:h="16838"/>
      <w:pgMar w:top="1418" w:right="1134" w:bottom="1134" w:left="1418"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楷体简体">
    <w:altName w:val="楷体_GB2312"/>
    <w:panose1 w:val="02010601030101010101"/>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9933508"/>
      <w:docPartObj>
        <w:docPartGallery w:val="autotext"/>
      </w:docPartObj>
    </w:sdtPr>
    <w:sdtEndPr>
      <w:rPr>
        <w:sz w:val="21"/>
        <w:szCs w:val="21"/>
      </w:rPr>
    </w:sdtEndPr>
    <w:sdtContent>
      <w:p>
        <w:pPr>
          <w:pStyle w:val="3"/>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hYWY5NmNlOGEwYzdjNmUxZGRkMDhmZmQzNGM0ODMifQ=="/>
    <w:docVar w:name="KSO_WPS_MARK_KEY" w:val="4a488b23-21e6-495a-ac10-25c571dca9b5"/>
  </w:docVars>
  <w:rsids>
    <w:rsidRoot w:val="007C2B00"/>
    <w:rsid w:val="00001FF7"/>
    <w:rsid w:val="000419E1"/>
    <w:rsid w:val="000435ED"/>
    <w:rsid w:val="000678A4"/>
    <w:rsid w:val="00091B96"/>
    <w:rsid w:val="00093963"/>
    <w:rsid w:val="000B3704"/>
    <w:rsid w:val="000C2D5C"/>
    <w:rsid w:val="000D6ACF"/>
    <w:rsid w:val="00104DFB"/>
    <w:rsid w:val="001175E6"/>
    <w:rsid w:val="001254EE"/>
    <w:rsid w:val="00137897"/>
    <w:rsid w:val="00180ED5"/>
    <w:rsid w:val="00190346"/>
    <w:rsid w:val="001B48EA"/>
    <w:rsid w:val="001B6F56"/>
    <w:rsid w:val="001C7759"/>
    <w:rsid w:val="001E5CA9"/>
    <w:rsid w:val="001E7C34"/>
    <w:rsid w:val="001F0B92"/>
    <w:rsid w:val="00200D78"/>
    <w:rsid w:val="00214373"/>
    <w:rsid w:val="00233D3B"/>
    <w:rsid w:val="00235559"/>
    <w:rsid w:val="002559A6"/>
    <w:rsid w:val="00264F44"/>
    <w:rsid w:val="002C52DA"/>
    <w:rsid w:val="002E3348"/>
    <w:rsid w:val="003042C5"/>
    <w:rsid w:val="0030522B"/>
    <w:rsid w:val="003076E1"/>
    <w:rsid w:val="00323C4B"/>
    <w:rsid w:val="00335A08"/>
    <w:rsid w:val="0036674F"/>
    <w:rsid w:val="003839B3"/>
    <w:rsid w:val="00393F4A"/>
    <w:rsid w:val="00397DCF"/>
    <w:rsid w:val="003A194F"/>
    <w:rsid w:val="003B310B"/>
    <w:rsid w:val="003D11E9"/>
    <w:rsid w:val="003D346A"/>
    <w:rsid w:val="003E46AC"/>
    <w:rsid w:val="003F74BE"/>
    <w:rsid w:val="00407345"/>
    <w:rsid w:val="00411840"/>
    <w:rsid w:val="004302AB"/>
    <w:rsid w:val="00463887"/>
    <w:rsid w:val="004667D1"/>
    <w:rsid w:val="00466A49"/>
    <w:rsid w:val="0049450A"/>
    <w:rsid w:val="004A5BCC"/>
    <w:rsid w:val="004C5CC7"/>
    <w:rsid w:val="004E1AD1"/>
    <w:rsid w:val="004E359D"/>
    <w:rsid w:val="004E4A90"/>
    <w:rsid w:val="004F600F"/>
    <w:rsid w:val="004F662B"/>
    <w:rsid w:val="005142E1"/>
    <w:rsid w:val="00523F4E"/>
    <w:rsid w:val="00524F0F"/>
    <w:rsid w:val="00553266"/>
    <w:rsid w:val="00557628"/>
    <w:rsid w:val="00586BCC"/>
    <w:rsid w:val="0058746C"/>
    <w:rsid w:val="005A0C47"/>
    <w:rsid w:val="005A467B"/>
    <w:rsid w:val="005B7D73"/>
    <w:rsid w:val="005D5FD9"/>
    <w:rsid w:val="0062042B"/>
    <w:rsid w:val="00624B16"/>
    <w:rsid w:val="00636083"/>
    <w:rsid w:val="00664990"/>
    <w:rsid w:val="00664AA8"/>
    <w:rsid w:val="00674711"/>
    <w:rsid w:val="00685895"/>
    <w:rsid w:val="0069585E"/>
    <w:rsid w:val="006A0655"/>
    <w:rsid w:val="006B6A88"/>
    <w:rsid w:val="006C242A"/>
    <w:rsid w:val="006C7B37"/>
    <w:rsid w:val="006E3EB2"/>
    <w:rsid w:val="00732E28"/>
    <w:rsid w:val="00762323"/>
    <w:rsid w:val="0076265A"/>
    <w:rsid w:val="00771171"/>
    <w:rsid w:val="00792A29"/>
    <w:rsid w:val="007B6ACD"/>
    <w:rsid w:val="007C2B00"/>
    <w:rsid w:val="007D5322"/>
    <w:rsid w:val="007D754A"/>
    <w:rsid w:val="0081672C"/>
    <w:rsid w:val="008322F7"/>
    <w:rsid w:val="00836CEC"/>
    <w:rsid w:val="00854979"/>
    <w:rsid w:val="008627A7"/>
    <w:rsid w:val="00874F5F"/>
    <w:rsid w:val="0089284C"/>
    <w:rsid w:val="008975FD"/>
    <w:rsid w:val="008B66CA"/>
    <w:rsid w:val="008B7E76"/>
    <w:rsid w:val="008C21DC"/>
    <w:rsid w:val="008C2379"/>
    <w:rsid w:val="008D0F8D"/>
    <w:rsid w:val="00912260"/>
    <w:rsid w:val="009144C0"/>
    <w:rsid w:val="00924D04"/>
    <w:rsid w:val="00934AAE"/>
    <w:rsid w:val="00947596"/>
    <w:rsid w:val="009744F1"/>
    <w:rsid w:val="00983072"/>
    <w:rsid w:val="00993704"/>
    <w:rsid w:val="0099774C"/>
    <w:rsid w:val="009B53D3"/>
    <w:rsid w:val="009C10D6"/>
    <w:rsid w:val="009C7CDD"/>
    <w:rsid w:val="009D0410"/>
    <w:rsid w:val="009D7F25"/>
    <w:rsid w:val="00A01C89"/>
    <w:rsid w:val="00A27656"/>
    <w:rsid w:val="00A3610F"/>
    <w:rsid w:val="00A60F01"/>
    <w:rsid w:val="00A6125F"/>
    <w:rsid w:val="00A72D4B"/>
    <w:rsid w:val="00A80BB2"/>
    <w:rsid w:val="00A97427"/>
    <w:rsid w:val="00AB1A08"/>
    <w:rsid w:val="00AC2D72"/>
    <w:rsid w:val="00AC5860"/>
    <w:rsid w:val="00AE7067"/>
    <w:rsid w:val="00B34125"/>
    <w:rsid w:val="00B435CE"/>
    <w:rsid w:val="00B47AEB"/>
    <w:rsid w:val="00B55AF9"/>
    <w:rsid w:val="00B73442"/>
    <w:rsid w:val="00BD69BE"/>
    <w:rsid w:val="00BE5A41"/>
    <w:rsid w:val="00BF3F9A"/>
    <w:rsid w:val="00C22D94"/>
    <w:rsid w:val="00C303B9"/>
    <w:rsid w:val="00C4385F"/>
    <w:rsid w:val="00C62E1F"/>
    <w:rsid w:val="00C66FD2"/>
    <w:rsid w:val="00C67971"/>
    <w:rsid w:val="00C805BE"/>
    <w:rsid w:val="00C9039C"/>
    <w:rsid w:val="00C9490A"/>
    <w:rsid w:val="00CA2AA1"/>
    <w:rsid w:val="00CA2EED"/>
    <w:rsid w:val="00CC1B49"/>
    <w:rsid w:val="00CC2C4E"/>
    <w:rsid w:val="00D057AA"/>
    <w:rsid w:val="00D41DBB"/>
    <w:rsid w:val="00D466C1"/>
    <w:rsid w:val="00D74083"/>
    <w:rsid w:val="00D93CF1"/>
    <w:rsid w:val="00DC297D"/>
    <w:rsid w:val="00DC7A5B"/>
    <w:rsid w:val="00DE2F25"/>
    <w:rsid w:val="00E047A0"/>
    <w:rsid w:val="00E04846"/>
    <w:rsid w:val="00E053F8"/>
    <w:rsid w:val="00E16D35"/>
    <w:rsid w:val="00E2600C"/>
    <w:rsid w:val="00E4409C"/>
    <w:rsid w:val="00E70FB7"/>
    <w:rsid w:val="00E75C99"/>
    <w:rsid w:val="00E770A3"/>
    <w:rsid w:val="00E8181A"/>
    <w:rsid w:val="00E90914"/>
    <w:rsid w:val="00E90ED7"/>
    <w:rsid w:val="00E944C3"/>
    <w:rsid w:val="00E97FAB"/>
    <w:rsid w:val="00EA18FE"/>
    <w:rsid w:val="00EB6D97"/>
    <w:rsid w:val="00EC6646"/>
    <w:rsid w:val="00EE5EF3"/>
    <w:rsid w:val="00EF213B"/>
    <w:rsid w:val="00F6269F"/>
    <w:rsid w:val="00F730B2"/>
    <w:rsid w:val="00F94E01"/>
    <w:rsid w:val="00FA3795"/>
    <w:rsid w:val="00FA393B"/>
    <w:rsid w:val="00FC0A7C"/>
    <w:rsid w:val="00FC216F"/>
    <w:rsid w:val="00FF0C2B"/>
    <w:rsid w:val="00FF4963"/>
    <w:rsid w:val="00FF6472"/>
    <w:rsid w:val="0D7B6E9D"/>
    <w:rsid w:val="16DF1705"/>
    <w:rsid w:val="3775792A"/>
    <w:rsid w:val="3BFB34FA"/>
    <w:rsid w:val="4BFF2C15"/>
    <w:rsid w:val="51FED7AB"/>
    <w:rsid w:val="5BD462C2"/>
    <w:rsid w:val="5EFA7CCD"/>
    <w:rsid w:val="6F79205D"/>
    <w:rsid w:val="6FBEB02E"/>
    <w:rsid w:val="757DE146"/>
    <w:rsid w:val="7EDE7209"/>
    <w:rsid w:val="7F7D58EC"/>
    <w:rsid w:val="7FB8A306"/>
    <w:rsid w:val="7FFF3627"/>
    <w:rsid w:val="9D4B5CFF"/>
    <w:rsid w:val="B7FF19A7"/>
    <w:rsid w:val="BA7B23C6"/>
    <w:rsid w:val="BFFF1F0D"/>
    <w:rsid w:val="DB7F8334"/>
    <w:rsid w:val="E9F71EFB"/>
    <w:rsid w:val="EA579197"/>
    <w:rsid w:val="ED7DBC19"/>
    <w:rsid w:val="F56F44D5"/>
    <w:rsid w:val="F7FE90A1"/>
    <w:rsid w:val="FE734873"/>
    <w:rsid w:val="FFFE7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uiPriority w:val="99"/>
    <w:pPr>
      <w:spacing w:after="120" w:afterLines="0" w:afterAutospacing="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Times New Roman" w:hAnsi="Times New Roman" w:eastAsia="宋体" w:cs="Times New Roman"/>
      <w:sz w:val="18"/>
      <w:szCs w:val="18"/>
    </w:rPr>
  </w:style>
  <w:style w:type="character" w:customStyle="1" w:styleId="8">
    <w:name w:val="页脚 字符"/>
    <w:basedOn w:val="6"/>
    <w:link w:val="3"/>
    <w:qFormat/>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5858</Words>
  <Characters>6375</Characters>
  <Lines>47</Lines>
  <Paragraphs>13</Paragraphs>
  <TotalTime>7</TotalTime>
  <ScaleCrop>false</ScaleCrop>
  <LinksUpToDate>false</LinksUpToDate>
  <CharactersWithSpaces>6454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2022-05-08T06:33:00Z</dcterms:created>
  <dc:creator>Panyingkai</dc:creator>
  <cp:lastModifiedBy>向桃</cp:lastModifiedBy>
  <dcterms:modified xsi:type="dcterms:W3CDTF">2025-02-28T03:24:20Z</dcterms:modified>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73EA1E045EDC4387AD30FA6C805F0E6F</vt:lpwstr>
  </property>
</Properties>
</file>