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CD6" w:rsidRDefault="00E46CD6">
      <w:pPr>
        <w:pStyle w:val="20"/>
        <w:spacing w:after="0" w:line="360" w:lineRule="auto"/>
        <w:ind w:leftChars="0" w:left="0" w:right="420" w:firstLine="420"/>
      </w:pPr>
      <w:bookmarkStart w:id="0" w:name="_GoBack"/>
      <w:bookmarkEnd w:id="0"/>
    </w:p>
    <w:p w:rsidR="00E46CD6" w:rsidRDefault="00E46CD6">
      <w:pPr>
        <w:ind w:firstLine="560"/>
        <w:jc w:val="center"/>
        <w:rPr>
          <w:rFonts w:ascii="黑体" w:eastAsia="黑体"/>
          <w:sz w:val="28"/>
          <w:szCs w:val="28"/>
        </w:rPr>
      </w:pPr>
    </w:p>
    <w:p w:rsidR="00E46CD6" w:rsidRDefault="002336CD">
      <w:pPr>
        <w:ind w:firstLineChars="0" w:firstLine="0"/>
        <w:jc w:val="center"/>
        <w:rPr>
          <w:rFonts w:ascii="楷体" w:eastAsia="楷体" w:hAnsi="楷体"/>
          <w:b/>
          <w:sz w:val="36"/>
          <w:szCs w:val="36"/>
          <w:lang w:val="zh-CN"/>
        </w:rPr>
      </w:pPr>
      <w:r>
        <w:rPr>
          <w:rFonts w:ascii="楷体" w:eastAsia="楷体" w:hAnsi="楷体" w:hint="eastAsia"/>
          <w:b/>
          <w:sz w:val="36"/>
          <w:szCs w:val="36"/>
        </w:rPr>
        <w:t>北京市机关事务管理中心</w:t>
      </w:r>
    </w:p>
    <w:p w:rsidR="00E46CD6" w:rsidRDefault="002336CD">
      <w:pPr>
        <w:ind w:firstLineChars="0" w:firstLine="0"/>
        <w:jc w:val="center"/>
        <w:rPr>
          <w:rFonts w:ascii="楷体" w:eastAsia="楷体" w:hAnsi="楷体"/>
          <w:b/>
          <w:sz w:val="36"/>
          <w:szCs w:val="36"/>
        </w:rPr>
      </w:pPr>
      <w:r>
        <w:rPr>
          <w:rFonts w:ascii="楷体" w:eastAsia="楷体" w:hAnsi="楷体" w:hint="eastAsia"/>
          <w:b/>
          <w:sz w:val="36"/>
          <w:szCs w:val="36"/>
        </w:rPr>
        <w:t>2023年台基厂2号院维修改造经费</w:t>
      </w:r>
    </w:p>
    <w:p w:rsidR="00E46CD6" w:rsidRDefault="002336CD">
      <w:pPr>
        <w:ind w:firstLineChars="0" w:firstLine="0"/>
        <w:jc w:val="center"/>
        <w:rPr>
          <w:rFonts w:ascii="黑体" w:eastAsia="黑体" w:hAnsi="黑体"/>
          <w:b/>
          <w:sz w:val="72"/>
          <w:szCs w:val="72"/>
          <w:lang w:val="zh-CN"/>
        </w:rPr>
      </w:pPr>
      <w:r>
        <w:rPr>
          <w:rFonts w:ascii="黑体" w:eastAsia="黑体" w:hAnsi="黑体" w:hint="eastAsia"/>
          <w:b/>
          <w:sz w:val="72"/>
          <w:szCs w:val="72"/>
          <w:lang w:val="zh-CN"/>
        </w:rPr>
        <w:t>绩 效 评 价 报 告</w:t>
      </w:r>
    </w:p>
    <w:p w:rsidR="00E46CD6" w:rsidRDefault="00E46CD6">
      <w:pPr>
        <w:ind w:firstLineChars="0" w:firstLine="0"/>
        <w:jc w:val="center"/>
        <w:rPr>
          <w:rFonts w:ascii="黑体" w:eastAsia="黑体" w:hAnsi="宋体" w:cs="黑体"/>
          <w:sz w:val="48"/>
          <w:szCs w:val="48"/>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宋体" w:eastAsia="宋体"/>
          <w:szCs w:val="32"/>
        </w:rPr>
      </w:pPr>
    </w:p>
    <w:p w:rsidR="00E46CD6" w:rsidRDefault="00E46CD6">
      <w:pPr>
        <w:ind w:firstLineChars="0" w:firstLine="0"/>
        <w:jc w:val="center"/>
        <w:rPr>
          <w:rFonts w:ascii="楷体" w:eastAsia="楷体" w:hAnsi="楷体" w:hint="eastAsia"/>
          <w:b/>
          <w:sz w:val="44"/>
          <w:szCs w:val="44"/>
        </w:rPr>
      </w:pPr>
    </w:p>
    <w:p w:rsidR="00171A4A" w:rsidRDefault="00171A4A">
      <w:pPr>
        <w:ind w:firstLineChars="0" w:firstLine="0"/>
        <w:jc w:val="center"/>
        <w:rPr>
          <w:rFonts w:ascii="宋体" w:eastAsia="宋体"/>
          <w:sz w:val="20"/>
          <w:szCs w:val="20"/>
        </w:rPr>
      </w:pPr>
    </w:p>
    <w:p w:rsidR="00E46CD6" w:rsidRDefault="002336CD">
      <w:pPr>
        <w:ind w:firstLineChars="0" w:firstLine="0"/>
        <w:jc w:val="center"/>
        <w:rPr>
          <w:rFonts w:ascii="仿宋_GB2312" w:hAnsi="仿宋"/>
          <w:b/>
          <w:bCs/>
          <w:szCs w:val="32"/>
        </w:rPr>
      </w:pPr>
      <w:r>
        <w:rPr>
          <w:rFonts w:ascii="仿宋_GB2312" w:hAnsi="仿宋" w:hint="eastAsia"/>
          <w:b/>
          <w:bCs/>
          <w:szCs w:val="32"/>
        </w:rPr>
        <w:t>2024年</w:t>
      </w:r>
      <w:r>
        <w:rPr>
          <w:rFonts w:ascii="仿宋_GB2312" w:hAnsi="仿宋"/>
          <w:b/>
          <w:bCs/>
          <w:szCs w:val="32"/>
        </w:rPr>
        <w:t>5</w:t>
      </w:r>
      <w:r>
        <w:rPr>
          <w:rFonts w:ascii="仿宋_GB2312" w:hAnsi="仿宋" w:hint="eastAsia"/>
          <w:b/>
          <w:bCs/>
          <w:szCs w:val="32"/>
        </w:rPr>
        <w:t>月</w:t>
      </w:r>
    </w:p>
    <w:p w:rsidR="00E46CD6" w:rsidRDefault="00E46CD6">
      <w:pPr>
        <w:ind w:firstLine="960"/>
        <w:rPr>
          <w:rFonts w:ascii="黑体" w:eastAsia="黑体" w:hAnsi="宋体"/>
          <w:color w:val="000000"/>
          <w:sz w:val="48"/>
          <w:szCs w:val="48"/>
        </w:rPr>
      </w:pPr>
    </w:p>
    <w:p w:rsidR="00E46CD6" w:rsidRDefault="00E46CD6">
      <w:pPr>
        <w:ind w:firstLine="960"/>
        <w:rPr>
          <w:rFonts w:ascii="黑体" w:eastAsia="黑体" w:hAnsi="宋体"/>
          <w:color w:val="000000"/>
          <w:sz w:val="48"/>
          <w:szCs w:val="48"/>
        </w:rPr>
        <w:sectPr w:rsidR="00E46CD6">
          <w:headerReference w:type="even" r:id="rId8"/>
          <w:headerReference w:type="default" r:id="rId9"/>
          <w:footerReference w:type="even" r:id="rId10"/>
          <w:footerReference w:type="default" r:id="rId11"/>
          <w:headerReference w:type="first" r:id="rId12"/>
          <w:footerReference w:type="first" r:id="rId13"/>
          <w:pgSz w:w="11906" w:h="16838"/>
          <w:pgMar w:top="2098" w:right="1531" w:bottom="1985" w:left="1531" w:header="851" w:footer="1418" w:gutter="0"/>
          <w:cols w:space="425"/>
          <w:docGrid w:type="lines" w:linePitch="312"/>
        </w:sectPr>
      </w:pPr>
    </w:p>
    <w:p w:rsidR="00E46CD6" w:rsidRDefault="002336CD">
      <w:pPr>
        <w:ind w:firstLine="640"/>
        <w:jc w:val="center"/>
        <w:rPr>
          <w:rFonts w:ascii="黑体" w:eastAsia="黑体" w:hAnsi="华文中宋"/>
          <w:bCs/>
          <w:szCs w:val="32"/>
        </w:rPr>
      </w:pPr>
      <w:r>
        <w:rPr>
          <w:rFonts w:ascii="黑体" w:eastAsia="黑体" w:hAnsi="华文中宋" w:hint="eastAsia"/>
          <w:bCs/>
          <w:szCs w:val="32"/>
        </w:rPr>
        <w:lastRenderedPageBreak/>
        <w:t>目 录</w:t>
      </w:r>
    </w:p>
    <w:p w:rsidR="00E46CD6" w:rsidRDefault="00E46CD6">
      <w:pPr>
        <w:pStyle w:val="10"/>
        <w:tabs>
          <w:tab w:val="right" w:leader="dot" w:pos="8834"/>
        </w:tabs>
        <w:spacing w:before="0" w:after="0"/>
        <w:ind w:firstLine="400"/>
        <w:rPr>
          <w:rFonts w:ascii="仿宋_GB2312" w:hAnsi="黑体"/>
          <w:b w:val="0"/>
          <w:caps w:val="0"/>
        </w:rPr>
      </w:pPr>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r w:rsidRPr="004C54DB">
        <w:rPr>
          <w:rStyle w:val="af"/>
          <w:rFonts w:hint="eastAsia"/>
        </w:rPr>
        <w:fldChar w:fldCharType="begin"/>
      </w:r>
      <w:r w:rsidR="002336CD">
        <w:rPr>
          <w:rStyle w:val="af"/>
          <w:rFonts w:ascii="仿宋_GB2312" w:hAnsi="仿宋_GB2312" w:cs="仿宋_GB2312" w:hint="eastAsia"/>
          <w:b w:val="0"/>
          <w:bCs w:val="0"/>
          <w:sz w:val="32"/>
          <w:szCs w:val="32"/>
        </w:rPr>
        <w:instrText xml:space="preserve"> TOC \o "1-2" \h \z \u </w:instrText>
      </w:r>
      <w:r w:rsidRPr="004C54DB">
        <w:rPr>
          <w:rStyle w:val="af"/>
          <w:rFonts w:hint="eastAsia"/>
        </w:rPr>
        <w:fldChar w:fldCharType="separate"/>
      </w:r>
      <w:hyperlink w:anchor="_Toc26141" w:history="1">
        <w:r w:rsidR="002336CD">
          <w:rPr>
            <w:rFonts w:ascii="仿宋_GB2312" w:hAnsi="仿宋_GB2312" w:cs="仿宋_GB2312" w:hint="eastAsia"/>
            <w:b w:val="0"/>
            <w:bCs w:val="0"/>
            <w:sz w:val="32"/>
            <w:szCs w:val="32"/>
          </w:rPr>
          <w:t>摘  要</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_Toc26141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I</w:t>
        </w:r>
        <w:r>
          <w:rPr>
            <w:rFonts w:ascii="仿宋_GB2312" w:hAnsi="仿宋_GB2312" w:cs="仿宋_GB2312" w:hint="eastAsia"/>
            <w:b w:val="0"/>
            <w:bCs w:val="0"/>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24567" w:history="1">
        <w:r w:rsidR="002336CD">
          <w:rPr>
            <w:rFonts w:ascii="仿宋_GB2312" w:hAnsi="仿宋_GB2312" w:cs="仿宋_GB2312" w:hint="eastAsia"/>
            <w:b w:val="0"/>
            <w:bCs w:val="0"/>
            <w:sz w:val="32"/>
            <w:szCs w:val="32"/>
          </w:rPr>
          <w:t>一、基本情况</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_Toc24567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1</w:t>
        </w:r>
        <w:r>
          <w:rPr>
            <w:rFonts w:ascii="仿宋_GB2312" w:hAnsi="仿宋_GB2312" w:cs="仿宋_GB2312" w:hint="eastAsia"/>
            <w:b w:val="0"/>
            <w:bCs w:val="0"/>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32727" w:history="1">
        <w:r w:rsidR="002336CD">
          <w:rPr>
            <w:rFonts w:ascii="仿宋_GB2312" w:hAnsi="仿宋_GB2312" w:cs="仿宋_GB2312" w:hint="eastAsia"/>
            <w:sz w:val="32"/>
            <w:szCs w:val="32"/>
          </w:rPr>
          <w:t>（一）项目概况</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_Toc32727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1</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922" w:history="1">
        <w:r w:rsidR="002336CD">
          <w:rPr>
            <w:rFonts w:ascii="仿宋_GB2312" w:hAnsi="仿宋_GB2312" w:cs="仿宋_GB2312" w:hint="eastAsia"/>
            <w:sz w:val="32"/>
            <w:szCs w:val="32"/>
          </w:rPr>
          <w:t>（二）项目绩效目标</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_Toc922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3</w:t>
        </w:r>
        <w:r>
          <w:rPr>
            <w:rFonts w:ascii="仿宋_GB2312" w:hAnsi="仿宋_GB2312" w:cs="仿宋_GB2312" w:hint="eastAsia"/>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27420" w:history="1">
        <w:r w:rsidR="002336CD">
          <w:rPr>
            <w:rFonts w:ascii="仿宋_GB2312" w:hAnsi="仿宋_GB2312" w:cs="仿宋_GB2312" w:hint="eastAsia"/>
            <w:b w:val="0"/>
            <w:bCs w:val="0"/>
            <w:sz w:val="32"/>
            <w:szCs w:val="32"/>
          </w:rPr>
          <w:t>二、绩效评价工作开展情况</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_Toc27420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4</w:t>
        </w:r>
        <w:r>
          <w:rPr>
            <w:rFonts w:ascii="仿宋_GB2312" w:hAnsi="仿宋_GB2312" w:cs="仿宋_GB2312" w:hint="eastAsia"/>
            <w:b w:val="0"/>
            <w:bCs w:val="0"/>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17772" w:history="1">
        <w:r w:rsidR="002336CD">
          <w:rPr>
            <w:rFonts w:ascii="仿宋_GB2312" w:hAnsi="仿宋_GB2312" w:cs="仿宋_GB2312" w:hint="eastAsia"/>
            <w:sz w:val="32"/>
            <w:szCs w:val="32"/>
          </w:rPr>
          <w:t>（一）绩效评价目的、对象及范围</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_Toc17772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4</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153" w:history="1">
        <w:r w:rsidR="002336CD">
          <w:rPr>
            <w:rFonts w:ascii="仿宋_GB2312" w:hAnsi="仿宋_GB2312" w:cs="仿宋_GB2312" w:hint="eastAsia"/>
            <w:sz w:val="32"/>
            <w:szCs w:val="32"/>
          </w:rPr>
          <w:t>（二）绩效评价原则、方法及指标体系</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_Toc2153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5</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31834" w:history="1">
        <w:r w:rsidR="002336CD">
          <w:rPr>
            <w:rFonts w:ascii="仿宋_GB2312" w:hAnsi="仿宋_GB2312" w:cs="仿宋_GB2312" w:hint="eastAsia"/>
            <w:sz w:val="32"/>
            <w:szCs w:val="32"/>
          </w:rPr>
          <w:t>（三）绩效评价工作过程</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_Toc31834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5</w:t>
        </w:r>
        <w:r>
          <w:rPr>
            <w:rFonts w:ascii="仿宋_GB2312" w:hAnsi="仿宋_GB2312" w:cs="仿宋_GB2312" w:hint="eastAsia"/>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4539" w:history="1">
        <w:r w:rsidR="002336CD">
          <w:rPr>
            <w:rFonts w:ascii="仿宋_GB2312" w:hAnsi="仿宋_GB2312" w:cs="仿宋_GB2312" w:hint="eastAsia"/>
            <w:b w:val="0"/>
            <w:bCs w:val="0"/>
            <w:sz w:val="32"/>
            <w:szCs w:val="32"/>
          </w:rPr>
          <w:t>三、综合评价情况及评价结论</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_Toc4539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6</w:t>
        </w:r>
        <w:r>
          <w:rPr>
            <w:rFonts w:ascii="仿宋_GB2312" w:hAnsi="仿宋_GB2312" w:cs="仿宋_GB2312" w:hint="eastAsia"/>
            <w:b w:val="0"/>
            <w:bCs w:val="0"/>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17964" w:history="1">
        <w:r w:rsidR="002336CD">
          <w:rPr>
            <w:rFonts w:ascii="仿宋_GB2312" w:hAnsi="仿宋_GB2312" w:cs="仿宋_GB2312" w:hint="eastAsia"/>
            <w:b w:val="0"/>
            <w:bCs w:val="0"/>
            <w:sz w:val="32"/>
            <w:szCs w:val="32"/>
          </w:rPr>
          <w:t>四、绩效评价指标分析</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_Toc17964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7</w:t>
        </w:r>
        <w:r>
          <w:rPr>
            <w:rFonts w:ascii="仿宋_GB2312" w:hAnsi="仿宋_GB2312" w:cs="仿宋_GB2312" w:hint="eastAsia"/>
            <w:b w:val="0"/>
            <w:bCs w:val="0"/>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12942" w:history="1">
        <w:r w:rsidR="002336CD">
          <w:rPr>
            <w:rFonts w:ascii="仿宋_GB2312" w:hAnsi="仿宋_GB2312" w:cs="仿宋_GB2312" w:hint="eastAsia"/>
            <w:sz w:val="32"/>
            <w:szCs w:val="32"/>
          </w:rPr>
          <w:t>（一）项目决策情况</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_Toc12942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7</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3030" w:history="1">
        <w:r w:rsidR="002336CD">
          <w:rPr>
            <w:rFonts w:ascii="仿宋_GB2312" w:hAnsi="仿宋_GB2312" w:cs="仿宋_GB2312" w:hint="eastAsia"/>
            <w:sz w:val="32"/>
            <w:szCs w:val="32"/>
          </w:rPr>
          <w:t>（二）项目过程情况</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_Toc23030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13</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16650" w:history="1">
        <w:r w:rsidR="002336CD">
          <w:rPr>
            <w:rFonts w:ascii="仿宋_GB2312" w:hAnsi="仿宋_GB2312" w:cs="仿宋_GB2312" w:hint="eastAsia"/>
            <w:sz w:val="32"/>
            <w:szCs w:val="32"/>
          </w:rPr>
          <w:t>（三）项目产出情况</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_Toc16650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16</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19225" w:history="1">
        <w:r w:rsidR="002336CD">
          <w:rPr>
            <w:rFonts w:ascii="仿宋_GB2312" w:hAnsi="仿宋_GB2312" w:cs="仿宋_GB2312" w:hint="eastAsia"/>
            <w:sz w:val="32"/>
            <w:szCs w:val="32"/>
          </w:rPr>
          <w:t>（四）项目效益情况</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_Toc19225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20</w:t>
        </w:r>
        <w:r>
          <w:rPr>
            <w:rFonts w:ascii="仿宋_GB2312" w:hAnsi="仿宋_GB2312" w:cs="仿宋_GB2312" w:hint="eastAsia"/>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10616" w:history="1">
        <w:r w:rsidR="002336CD">
          <w:rPr>
            <w:rFonts w:ascii="仿宋_GB2312" w:hAnsi="仿宋_GB2312" w:cs="仿宋_GB2312" w:hint="eastAsia"/>
            <w:b w:val="0"/>
            <w:bCs w:val="0"/>
            <w:sz w:val="32"/>
            <w:szCs w:val="32"/>
          </w:rPr>
          <w:t>五、主要经验及做法、存在的问题及原因</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_Toc10616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21</w:t>
        </w:r>
        <w:r>
          <w:rPr>
            <w:rFonts w:ascii="仿宋_GB2312" w:hAnsi="仿宋_GB2312" w:cs="仿宋_GB2312" w:hint="eastAsia"/>
            <w:b w:val="0"/>
            <w:bCs w:val="0"/>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10597" w:history="1">
        <w:r w:rsidR="002336CD">
          <w:rPr>
            <w:rFonts w:ascii="仿宋_GB2312" w:hAnsi="仿宋_GB2312" w:cs="仿宋_GB2312" w:hint="eastAsia"/>
            <w:sz w:val="32"/>
            <w:szCs w:val="32"/>
          </w:rPr>
          <w:t>（一）主要经验及做法</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_Toc10597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21</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6223" w:history="1">
        <w:r w:rsidR="002336CD">
          <w:rPr>
            <w:rFonts w:ascii="仿宋_GB2312" w:hAnsi="仿宋_GB2312" w:cs="仿宋_GB2312" w:hint="eastAsia"/>
            <w:sz w:val="32"/>
            <w:szCs w:val="32"/>
          </w:rPr>
          <w:t>（二）存在的主要问题及原因分析</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_Toc26223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21</w:t>
        </w:r>
        <w:r>
          <w:rPr>
            <w:rFonts w:ascii="仿宋_GB2312" w:hAnsi="仿宋_GB2312" w:cs="仿宋_GB2312" w:hint="eastAsia"/>
            <w:sz w:val="32"/>
            <w:szCs w:val="32"/>
          </w:rPr>
          <w:fldChar w:fldCharType="end"/>
        </w:r>
      </w:hyperlink>
    </w:p>
    <w:p w:rsidR="00E46CD6" w:rsidRDefault="004C54DB">
      <w:pPr>
        <w:pStyle w:val="10"/>
        <w:tabs>
          <w:tab w:val="right" w:leader="dot" w:pos="8844"/>
        </w:tabs>
        <w:spacing w:before="0" w:after="0" w:line="312" w:lineRule="auto"/>
        <w:ind w:firstLineChars="0" w:firstLine="0"/>
        <w:jc w:val="both"/>
        <w:rPr>
          <w:rFonts w:ascii="仿宋_GB2312" w:hAnsi="仿宋_GB2312" w:cs="仿宋_GB2312"/>
          <w:b w:val="0"/>
          <w:bCs w:val="0"/>
          <w:sz w:val="32"/>
          <w:szCs w:val="32"/>
        </w:rPr>
      </w:pPr>
      <w:hyperlink w:anchor="_Toc3857" w:history="1">
        <w:r w:rsidR="002336CD">
          <w:rPr>
            <w:rFonts w:ascii="仿宋_GB2312" w:hAnsi="仿宋_GB2312" w:cs="仿宋_GB2312" w:hint="eastAsia"/>
            <w:b w:val="0"/>
            <w:bCs w:val="0"/>
            <w:sz w:val="32"/>
            <w:szCs w:val="32"/>
          </w:rPr>
          <w:t>六、有关建议</w:t>
        </w:r>
        <w:r w:rsidR="002336CD">
          <w:rPr>
            <w:rFonts w:ascii="仿宋_GB2312" w:hAnsi="仿宋_GB2312" w:cs="仿宋_GB2312" w:hint="eastAsia"/>
            <w:b w:val="0"/>
            <w:bCs w:val="0"/>
            <w:sz w:val="32"/>
            <w:szCs w:val="32"/>
          </w:rPr>
          <w:tab/>
        </w:r>
        <w:r>
          <w:rPr>
            <w:rFonts w:ascii="仿宋_GB2312" w:hAnsi="仿宋_GB2312" w:cs="仿宋_GB2312" w:hint="eastAsia"/>
            <w:b w:val="0"/>
            <w:bCs w:val="0"/>
            <w:sz w:val="32"/>
            <w:szCs w:val="32"/>
          </w:rPr>
          <w:fldChar w:fldCharType="begin"/>
        </w:r>
        <w:r w:rsidR="002336CD">
          <w:rPr>
            <w:rFonts w:ascii="仿宋_GB2312" w:hAnsi="仿宋_GB2312" w:cs="仿宋_GB2312" w:hint="eastAsia"/>
            <w:b w:val="0"/>
            <w:bCs w:val="0"/>
            <w:sz w:val="32"/>
            <w:szCs w:val="32"/>
          </w:rPr>
          <w:instrText xml:space="preserve"> PAGEREF _Toc3857 \h </w:instrText>
        </w:r>
        <w:r>
          <w:rPr>
            <w:rFonts w:ascii="仿宋_GB2312" w:hAnsi="仿宋_GB2312" w:cs="仿宋_GB2312" w:hint="eastAsia"/>
            <w:b w:val="0"/>
            <w:bCs w:val="0"/>
            <w:sz w:val="32"/>
            <w:szCs w:val="32"/>
          </w:rPr>
        </w:r>
        <w:r>
          <w:rPr>
            <w:rFonts w:ascii="仿宋_GB2312" w:hAnsi="仿宋_GB2312" w:cs="仿宋_GB2312" w:hint="eastAsia"/>
            <w:b w:val="0"/>
            <w:bCs w:val="0"/>
            <w:sz w:val="32"/>
            <w:szCs w:val="32"/>
          </w:rPr>
          <w:fldChar w:fldCharType="separate"/>
        </w:r>
        <w:r w:rsidR="002336CD">
          <w:rPr>
            <w:rFonts w:ascii="仿宋_GB2312" w:hAnsi="仿宋_GB2312" w:cs="仿宋_GB2312" w:hint="eastAsia"/>
            <w:b w:val="0"/>
            <w:bCs w:val="0"/>
            <w:sz w:val="32"/>
            <w:szCs w:val="32"/>
          </w:rPr>
          <w:t>22</w:t>
        </w:r>
        <w:r>
          <w:rPr>
            <w:rFonts w:ascii="仿宋_GB2312" w:hAnsi="仿宋_GB2312" w:cs="仿宋_GB2312" w:hint="eastAsia"/>
            <w:b w:val="0"/>
            <w:bCs w:val="0"/>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9530" w:history="1">
        <w:r w:rsidR="002336CD">
          <w:rPr>
            <w:rFonts w:ascii="仿宋_GB2312" w:hAnsi="仿宋_GB2312" w:cs="仿宋_GB2312" w:hint="eastAsia"/>
            <w:sz w:val="32"/>
            <w:szCs w:val="32"/>
          </w:rPr>
          <w:t>（一）加强项目前期规划设计，充分进行调研论证</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_Toc29530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22</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9603" w:history="1">
        <w:r w:rsidR="002336CD">
          <w:rPr>
            <w:rFonts w:ascii="仿宋_GB2312" w:hAnsi="仿宋_GB2312" w:cs="仿宋_GB2312" w:hint="eastAsia"/>
            <w:sz w:val="32"/>
            <w:szCs w:val="32"/>
          </w:rPr>
          <w:t>（二）加强项目执行过程监督，严格按照合同约定实施项目</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_Toc29603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23</w:t>
        </w:r>
        <w:r>
          <w:rPr>
            <w:rFonts w:ascii="仿宋_GB2312" w:hAnsi="仿宋_GB2312" w:cs="仿宋_GB2312" w:hint="eastAsia"/>
            <w:sz w:val="32"/>
            <w:szCs w:val="32"/>
          </w:rPr>
          <w:fldChar w:fldCharType="end"/>
        </w:r>
      </w:hyperlink>
    </w:p>
    <w:p w:rsidR="00E46CD6" w:rsidRDefault="004C54DB">
      <w:pPr>
        <w:pStyle w:val="21"/>
        <w:tabs>
          <w:tab w:val="right" w:leader="dot" w:pos="8844"/>
        </w:tabs>
        <w:spacing w:line="312" w:lineRule="auto"/>
        <w:ind w:left="0" w:firstLineChars="0" w:firstLine="0"/>
        <w:jc w:val="both"/>
        <w:rPr>
          <w:rFonts w:ascii="仿宋_GB2312" w:hAnsi="仿宋_GB2312" w:cs="仿宋_GB2312"/>
          <w:sz w:val="32"/>
          <w:szCs w:val="32"/>
        </w:rPr>
      </w:pPr>
      <w:hyperlink w:anchor="_Toc21577" w:history="1">
        <w:r w:rsidR="002336CD">
          <w:rPr>
            <w:rFonts w:ascii="仿宋_GB2312" w:hAnsi="仿宋_GB2312" w:cs="仿宋_GB2312" w:hint="eastAsia"/>
            <w:sz w:val="32"/>
            <w:szCs w:val="32"/>
          </w:rPr>
          <w:t>（三）充分挖掘项目实施效益，强化满意度调查分析</w:t>
        </w:r>
        <w:r w:rsidR="002336C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2336CD">
          <w:rPr>
            <w:rFonts w:ascii="仿宋_GB2312" w:hAnsi="仿宋_GB2312" w:cs="仿宋_GB2312" w:hint="eastAsia"/>
            <w:sz w:val="32"/>
            <w:szCs w:val="32"/>
          </w:rPr>
          <w:instrText xml:space="preserve"> PAGEREF _Toc21577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2336CD">
          <w:rPr>
            <w:rFonts w:ascii="仿宋_GB2312" w:hAnsi="仿宋_GB2312" w:cs="仿宋_GB2312" w:hint="eastAsia"/>
            <w:sz w:val="32"/>
            <w:szCs w:val="32"/>
          </w:rPr>
          <w:t>23</w:t>
        </w:r>
        <w:r>
          <w:rPr>
            <w:rFonts w:ascii="仿宋_GB2312" w:hAnsi="仿宋_GB2312" w:cs="仿宋_GB2312" w:hint="eastAsia"/>
            <w:sz w:val="32"/>
            <w:szCs w:val="32"/>
          </w:rPr>
          <w:fldChar w:fldCharType="end"/>
        </w:r>
      </w:hyperlink>
    </w:p>
    <w:p w:rsidR="00E46CD6" w:rsidRDefault="004C54DB">
      <w:pPr>
        <w:pStyle w:val="10"/>
        <w:tabs>
          <w:tab w:val="right" w:leader="dot" w:pos="8834"/>
        </w:tabs>
        <w:spacing w:before="0" w:after="0" w:line="312" w:lineRule="auto"/>
        <w:ind w:firstLineChars="0" w:firstLine="0"/>
        <w:jc w:val="both"/>
        <w:rPr>
          <w:rStyle w:val="af"/>
          <w:rFonts w:ascii="仿宋_GB2312" w:hAnsi="华文中宋"/>
          <w:b w:val="0"/>
          <w:sz w:val="32"/>
          <w:szCs w:val="32"/>
        </w:rPr>
        <w:sectPr w:rsidR="00E46CD6">
          <w:footerReference w:type="default" r:id="rId14"/>
          <w:pgSz w:w="11906" w:h="16838"/>
          <w:pgMar w:top="2098" w:right="1531" w:bottom="1985" w:left="1531" w:header="851" w:footer="1134" w:gutter="0"/>
          <w:pgNumType w:fmt="upperRoman" w:start="1"/>
          <w:cols w:space="720"/>
          <w:docGrid w:type="lines" w:linePitch="435"/>
        </w:sectPr>
      </w:pPr>
      <w:r>
        <w:rPr>
          <w:rFonts w:ascii="仿宋_GB2312" w:hAnsi="仿宋_GB2312" w:cs="仿宋_GB2312" w:hint="eastAsia"/>
          <w:b w:val="0"/>
          <w:bCs w:val="0"/>
          <w:sz w:val="32"/>
          <w:szCs w:val="32"/>
        </w:rPr>
        <w:fldChar w:fldCharType="end"/>
      </w:r>
    </w:p>
    <w:p w:rsidR="00E46CD6" w:rsidRDefault="002336CD">
      <w:pPr>
        <w:ind w:firstLineChars="0" w:firstLine="0"/>
        <w:jc w:val="center"/>
        <w:outlineLvl w:val="0"/>
        <w:rPr>
          <w:rFonts w:ascii="黑体" w:eastAsia="黑体" w:hAnsi="华文中宋"/>
          <w:bCs/>
          <w:szCs w:val="32"/>
        </w:rPr>
      </w:pPr>
      <w:bookmarkStart w:id="1" w:name="_Toc73095360"/>
      <w:bookmarkStart w:id="2" w:name="_Toc26141"/>
      <w:bookmarkStart w:id="3" w:name="_Toc35588392"/>
      <w:r>
        <w:rPr>
          <w:rFonts w:ascii="黑体" w:eastAsia="黑体" w:hAnsi="华文中宋" w:hint="eastAsia"/>
          <w:bCs/>
          <w:szCs w:val="32"/>
        </w:rPr>
        <w:lastRenderedPageBreak/>
        <w:t>摘  要</w:t>
      </w:r>
      <w:bookmarkEnd w:id="1"/>
      <w:bookmarkEnd w:id="2"/>
      <w:bookmarkEnd w:id="3"/>
    </w:p>
    <w:p w:rsidR="00E46CD6" w:rsidRDefault="00E46CD6">
      <w:pPr>
        <w:ind w:firstLine="400"/>
        <w:jc w:val="center"/>
        <w:rPr>
          <w:rFonts w:ascii="黑体" w:eastAsia="黑体" w:hAnsi="华文中宋"/>
          <w:bCs/>
          <w:sz w:val="20"/>
          <w:szCs w:val="20"/>
        </w:rPr>
      </w:pPr>
    </w:p>
    <w:p w:rsidR="00E46CD6" w:rsidRDefault="002336CD">
      <w:pPr>
        <w:ind w:firstLine="640"/>
        <w:rPr>
          <w:rFonts w:ascii="仿宋_GB2312"/>
          <w:szCs w:val="32"/>
        </w:rPr>
      </w:pPr>
      <w:r>
        <w:rPr>
          <w:rFonts w:ascii="仿宋_GB2312" w:hint="eastAsia"/>
          <w:szCs w:val="32"/>
        </w:rPr>
        <w:t>为深入贯彻《预算法》《中共中央 国务院关于全面实施预算绩效管理的意见》《北京市财政局关于开展2024年预算绩效管理相关工作的函》有关文件精神，根据北京市机关事务管理中心</w:t>
      </w:r>
      <w:r>
        <w:rPr>
          <w:rFonts w:ascii="仿宋_GB2312" w:hAnsi="宋体" w:hint="eastAsia"/>
          <w:szCs w:val="28"/>
        </w:rPr>
        <w:t>（以下简称“</w:t>
      </w:r>
      <w:r>
        <w:rPr>
          <w:rFonts w:ascii="仿宋_GB2312" w:hint="eastAsia"/>
          <w:szCs w:val="32"/>
        </w:rPr>
        <w:t>市机关事务管理中心</w:t>
      </w:r>
      <w:r>
        <w:rPr>
          <w:rFonts w:ascii="仿宋_GB2312" w:hAnsi="宋体" w:hint="eastAsia"/>
          <w:szCs w:val="28"/>
        </w:rPr>
        <w:t>”）绩效评价工作安排，本次评价受托机构北京兴元嘉诚咨询有限公司（以下简称“评价机构”）组织开展了2023年台基厂2号院维修改造经费绩效评价工作。从决策、管理、产出、效益四个方面对项目进行评价，</w:t>
      </w:r>
      <w:r>
        <w:rPr>
          <w:rFonts w:ascii="仿宋_GB2312" w:hAnsi="宋体" w:hint="eastAsia"/>
          <w:b/>
          <w:bCs/>
          <w:szCs w:val="28"/>
        </w:rPr>
        <w:t>综合得分为</w:t>
      </w:r>
      <w:r>
        <w:rPr>
          <w:rFonts w:ascii="仿宋_GB2312" w:hAnsi="宋体" w:hint="eastAsia"/>
          <w:b/>
          <w:bCs/>
        </w:rPr>
        <w:t>85.77</w:t>
      </w:r>
      <w:r>
        <w:rPr>
          <w:rFonts w:ascii="仿宋_GB2312" w:hAnsi="宋体" w:hint="eastAsia"/>
          <w:b/>
          <w:bCs/>
          <w:szCs w:val="28"/>
        </w:rPr>
        <w:t>分，评价等级为“良”</w:t>
      </w:r>
      <w:r>
        <w:rPr>
          <w:rFonts w:ascii="仿宋_GB2312" w:hAnsi="宋体" w:hint="eastAsia"/>
          <w:szCs w:val="28"/>
        </w:rPr>
        <w:t>。</w:t>
      </w:r>
    </w:p>
    <w:p w:rsidR="00E46CD6" w:rsidRDefault="002336CD">
      <w:pPr>
        <w:shd w:val="clear" w:color="auto" w:fill="FFFFFF"/>
        <w:ind w:firstLine="640"/>
        <w:rPr>
          <w:rFonts w:ascii="仿宋_GB2312" w:hAnsi="宋体"/>
          <w:highlight w:val="yellow"/>
        </w:rPr>
      </w:pPr>
      <w:r>
        <w:rPr>
          <w:rFonts w:ascii="仿宋_GB2312" w:hint="eastAsia"/>
          <w:szCs w:val="32"/>
        </w:rPr>
        <w:t>2023年度，通过对台基厂大街2号院室内和室外工程5500平方米公用房进行修缮改造，改善了整体办公环境，延长了办公楼使用寿命。</w:t>
      </w:r>
      <w:r>
        <w:rPr>
          <w:rFonts w:ascii="仿宋_GB2312" w:hint="eastAsia"/>
          <w:color w:val="000000"/>
          <w:szCs w:val="32"/>
        </w:rPr>
        <w:t>但评价发现，项目存在以下情况有待改进：一是项目前期需求调研不够充分，预算编制科学性有待增强；二是项目执行过程规范性存在不足，过程管理需要强化；三是项目效益有待进一步挖掘，满意度调查有待开展。</w:t>
      </w:r>
    </w:p>
    <w:p w:rsidR="00E46CD6" w:rsidRDefault="002336CD">
      <w:pPr>
        <w:shd w:val="clear" w:color="auto" w:fill="FFFFFF"/>
        <w:ind w:firstLine="640"/>
        <w:rPr>
          <w:rFonts w:ascii="仿宋_GB2312"/>
          <w:color w:val="000000"/>
          <w:szCs w:val="32"/>
        </w:rPr>
      </w:pPr>
      <w:r>
        <w:rPr>
          <w:rFonts w:ascii="仿宋_GB2312" w:hint="eastAsia"/>
          <w:color w:val="000000"/>
          <w:szCs w:val="32"/>
        </w:rPr>
        <w:t>围绕项目存在的问题，结合项目实际开展情况，评价机构提出以下建议：一是加强项目前期规划设计，充分进行调研论证；二是加强项目执行过程监督，严格按照合同约定实施项目；三是充分挖掘项目实施效益，强化满意度调查分析。</w:t>
      </w:r>
    </w:p>
    <w:p w:rsidR="00E46CD6" w:rsidRDefault="00E46CD6">
      <w:pPr>
        <w:ind w:firstLine="640"/>
        <w:rPr>
          <w:rFonts w:ascii="仿宋_GB2312"/>
          <w:iCs/>
          <w:szCs w:val="32"/>
        </w:rPr>
        <w:sectPr w:rsidR="00E46CD6">
          <w:footerReference w:type="default" r:id="rId15"/>
          <w:pgSz w:w="11906" w:h="16838"/>
          <w:pgMar w:top="2098" w:right="1531" w:bottom="1985" w:left="1531" w:header="851" w:footer="1134" w:gutter="0"/>
          <w:pgNumType w:fmt="upperRoman" w:start="1"/>
          <w:cols w:space="720"/>
          <w:docGrid w:type="lines" w:linePitch="435"/>
        </w:sectPr>
      </w:pPr>
    </w:p>
    <w:p w:rsidR="00E46CD6" w:rsidRDefault="002336CD">
      <w:pPr>
        <w:spacing w:line="300" w:lineRule="auto"/>
        <w:ind w:firstLineChars="0" w:firstLine="0"/>
        <w:jc w:val="center"/>
        <w:rPr>
          <w:rFonts w:ascii="华文中宋" w:eastAsia="华文中宋" w:hAnsi="华文中宋"/>
          <w:bCs/>
          <w:sz w:val="36"/>
          <w:szCs w:val="44"/>
        </w:rPr>
      </w:pPr>
      <w:bookmarkStart w:id="4" w:name="_Toc35588393"/>
      <w:bookmarkStart w:id="5" w:name="_Toc73095361"/>
      <w:bookmarkStart w:id="6" w:name="_Toc24567"/>
      <w:bookmarkStart w:id="7" w:name="_Toc35588408"/>
      <w:r>
        <w:rPr>
          <w:rFonts w:ascii="华文中宋" w:eastAsia="华文中宋" w:hAnsi="华文中宋" w:hint="eastAsia"/>
          <w:bCs/>
          <w:sz w:val="36"/>
          <w:szCs w:val="44"/>
        </w:rPr>
        <w:lastRenderedPageBreak/>
        <w:t>北京市机关事务管理中心</w:t>
      </w:r>
    </w:p>
    <w:p w:rsidR="00E46CD6" w:rsidRDefault="002336CD">
      <w:pPr>
        <w:spacing w:line="300" w:lineRule="auto"/>
        <w:ind w:firstLineChars="0" w:firstLine="0"/>
        <w:jc w:val="center"/>
        <w:rPr>
          <w:rFonts w:ascii="华文中宋" w:eastAsia="华文中宋" w:hAnsi="华文中宋"/>
          <w:bCs/>
          <w:sz w:val="36"/>
          <w:szCs w:val="44"/>
        </w:rPr>
      </w:pPr>
      <w:r>
        <w:rPr>
          <w:rFonts w:ascii="华文中宋" w:eastAsia="华文中宋" w:hAnsi="华文中宋" w:hint="eastAsia"/>
          <w:bCs/>
          <w:sz w:val="36"/>
          <w:szCs w:val="44"/>
        </w:rPr>
        <w:t>2023年台基厂2号院维修改造经费</w:t>
      </w:r>
    </w:p>
    <w:p w:rsidR="00E46CD6" w:rsidRDefault="002336CD">
      <w:pPr>
        <w:spacing w:line="300" w:lineRule="auto"/>
        <w:ind w:firstLineChars="0" w:firstLine="0"/>
        <w:jc w:val="center"/>
        <w:rPr>
          <w:rFonts w:ascii="华文中宋" w:eastAsia="华文中宋" w:hAnsi="华文中宋"/>
          <w:szCs w:val="32"/>
        </w:rPr>
      </w:pPr>
      <w:r>
        <w:rPr>
          <w:rFonts w:ascii="华文中宋" w:eastAsia="华文中宋" w:hAnsi="华文中宋" w:hint="eastAsia"/>
          <w:bCs/>
          <w:sz w:val="36"/>
          <w:szCs w:val="44"/>
        </w:rPr>
        <w:t>项目支出绩效评价报告</w:t>
      </w:r>
    </w:p>
    <w:p w:rsidR="00E46CD6" w:rsidRDefault="00E46CD6">
      <w:pPr>
        <w:ind w:firstLine="640"/>
        <w:rPr>
          <w:rFonts w:ascii="黑体" w:eastAsia="黑体"/>
          <w:szCs w:val="32"/>
        </w:rPr>
      </w:pPr>
    </w:p>
    <w:p w:rsidR="00E46CD6" w:rsidRDefault="002336CD">
      <w:pPr>
        <w:ind w:firstLine="640"/>
        <w:outlineLvl w:val="0"/>
        <w:rPr>
          <w:rFonts w:ascii="黑体" w:eastAsia="黑体"/>
          <w:szCs w:val="32"/>
        </w:rPr>
      </w:pPr>
      <w:r>
        <w:rPr>
          <w:rFonts w:ascii="黑体" w:eastAsia="黑体" w:hint="eastAsia"/>
          <w:szCs w:val="32"/>
        </w:rPr>
        <w:t>一、基本情况</w:t>
      </w:r>
      <w:bookmarkEnd w:id="4"/>
      <w:bookmarkEnd w:id="5"/>
      <w:bookmarkEnd w:id="6"/>
    </w:p>
    <w:p w:rsidR="00E46CD6" w:rsidRDefault="002336CD" w:rsidP="00D50417">
      <w:pPr>
        <w:ind w:firstLine="640"/>
        <w:outlineLvl w:val="1"/>
        <w:rPr>
          <w:rFonts w:ascii="楷体_GB2312" w:eastAsia="楷体_GB2312"/>
          <w:szCs w:val="32"/>
        </w:rPr>
      </w:pPr>
      <w:bookmarkStart w:id="8" w:name="_Toc73095362"/>
      <w:bookmarkStart w:id="9" w:name="_Toc35588394"/>
      <w:bookmarkStart w:id="10" w:name="_Toc32727"/>
      <w:r>
        <w:rPr>
          <w:rFonts w:ascii="楷体_GB2312" w:eastAsia="楷体_GB2312" w:hint="eastAsia"/>
          <w:szCs w:val="32"/>
        </w:rPr>
        <w:t>（一）项目概况</w:t>
      </w:r>
      <w:bookmarkEnd w:id="8"/>
      <w:bookmarkEnd w:id="9"/>
      <w:bookmarkEnd w:id="10"/>
    </w:p>
    <w:p w:rsidR="00E46CD6" w:rsidRDefault="002336CD">
      <w:pPr>
        <w:pStyle w:val="ab"/>
        <w:outlineLvl w:val="2"/>
      </w:pPr>
      <w:bookmarkStart w:id="11" w:name="_Toc35588395"/>
      <w:bookmarkStart w:id="12" w:name="_Toc73095363"/>
      <w:r>
        <w:rPr>
          <w:rFonts w:hint="eastAsia"/>
        </w:rPr>
        <w:t>1.项目背景</w:t>
      </w:r>
      <w:bookmarkEnd w:id="11"/>
      <w:bookmarkEnd w:id="12"/>
    </w:p>
    <w:p w:rsidR="00E46CD6" w:rsidRDefault="002336CD">
      <w:pPr>
        <w:ind w:firstLine="640"/>
        <w:rPr>
          <w:rFonts w:ascii="仿宋_GB2312" w:hAnsi="宋体" w:cs="宋体"/>
          <w:color w:val="000000"/>
          <w:kern w:val="0"/>
        </w:rPr>
      </w:pPr>
      <w:r>
        <w:rPr>
          <w:rFonts w:hAnsi="宋体" w:cs="宋体" w:hint="eastAsia"/>
          <w:color w:val="000000"/>
          <w:kern w:val="0"/>
        </w:rPr>
        <w:t>根据《</w:t>
      </w:r>
      <w:r>
        <w:rPr>
          <w:rFonts w:ascii="仿宋_GB2312" w:hAnsi="宋体" w:cs="宋体" w:hint="eastAsia"/>
          <w:color w:val="000000"/>
          <w:kern w:val="0"/>
        </w:rPr>
        <w:t>中共北京市委机构编制委员会&lt;关于印发北京市机关事务管理中心机构职能编制规定&gt;的通知》（京编委发〔2021〕14号）、《中共北京市委机构编制委员会&lt;关于市机关事务局所属事业单位改革有关事项&gt;的批复》（京编委〔2021〕139号）等文件规定，市机关事务管理中心为副局级公益一类事业单位，隶属北京市人民政府机关事务管理局（以下简称“市机关事务管理局”），主要负责核心区集中办公区国有资产管理、办公用房管理、经费管理、节能等工作；承担核心区集中办公区服务保障、安全保卫、相关社会事务协调等工作，按要求为中央国家机关、北京市在核心区的重要会议、重要活动提供相关服务保障；完成市机关事务管理局交办的其他任务。</w:t>
      </w:r>
    </w:p>
    <w:p w:rsidR="00E46CD6" w:rsidRDefault="002336CD">
      <w:pPr>
        <w:ind w:firstLine="640"/>
        <w:rPr>
          <w:rFonts w:ascii="仿宋_GB2312" w:hAnsi="宋体" w:cs="宋体"/>
          <w:color w:val="000000"/>
          <w:kern w:val="0"/>
        </w:rPr>
      </w:pPr>
      <w:r>
        <w:rPr>
          <w:rFonts w:ascii="仿宋_GB2312" w:hAnsi="宋体" w:cs="宋体" w:hint="eastAsia"/>
          <w:color w:val="000000"/>
          <w:kern w:val="0"/>
        </w:rPr>
        <w:t>台基厂大街办公区管理处为市机关事务管理中心内设处室，承担区域内相关重要政务活动场所、老干部活动场所和中央移交院落的运行保障工作。台基厂大街办公区管理处所管辖建筑面积约为7万平方米，包括台基厂大街、北池子大街和育强胡同等院落；其中，台基厂大街2号院于1990年投入运行，至今已使用三十余年，存在室外路面破损空鼓、排水不畅，室内屋面漏水、墙面脱落、门窗封闭不严等情况，影响内部干部职工的办公和生活环境。针对上述问题，项目计划对室外路面1800平方米和室内房间3700平方米</w:t>
      </w:r>
      <w:r>
        <w:rPr>
          <w:rFonts w:ascii="仿宋_GB2312" w:hAnsi="仿宋_GB2312" w:cs="仿宋_GB2312" w:hint="eastAsia"/>
          <w:color w:val="000000"/>
          <w:kern w:val="0"/>
        </w:rPr>
        <w:t>设备设施进行装修和改造，改善办公区工作环境，满足办公需要。</w:t>
      </w:r>
    </w:p>
    <w:p w:rsidR="00E46CD6" w:rsidRDefault="002336CD">
      <w:pPr>
        <w:pStyle w:val="ab"/>
        <w:outlineLvl w:val="2"/>
      </w:pPr>
      <w:bookmarkStart w:id="13" w:name="_Toc35588396"/>
      <w:bookmarkStart w:id="14" w:name="_Toc73095364"/>
      <w:r>
        <w:t>2.项目主要内容</w:t>
      </w:r>
      <w:bookmarkEnd w:id="13"/>
      <w:r>
        <w:t>及实施情况</w:t>
      </w:r>
      <w:bookmarkEnd w:id="14"/>
    </w:p>
    <w:p w:rsidR="00E46CD6" w:rsidRDefault="002336CD">
      <w:pPr>
        <w:pStyle w:val="ab"/>
      </w:pPr>
      <w:r>
        <w:rPr>
          <w:rFonts w:hint="eastAsia"/>
        </w:rPr>
        <w:t>该项目为一次性项目，2023年度项目计划完成内容为：一是室外工程，计划破除原混凝土路面、挖除土方、新做雨水口、更换井盖，新做路缘石、水泥稳定碎石基层及沥青混凝土面层；二是室内工程，计划根据现有建筑对房间重新布置，对所有室内区域的装修包括墙面、地面、地砖、门窗、隔墙、灯饰、线缆、开关、车库车位标识标线，以及对茶水间、卫生间重新布置，中庭地砖、女儿墙、防水拆除新做；屋顶防水以及建筑外立面灯饰及真石漆。</w:t>
      </w:r>
    </w:p>
    <w:p w:rsidR="00E46CD6" w:rsidRDefault="002336CD">
      <w:pPr>
        <w:pStyle w:val="ab"/>
      </w:pPr>
      <w:r>
        <w:rPr>
          <w:rFonts w:hint="eastAsia"/>
        </w:rPr>
        <w:t>项目于2023年5月13日开工，于2023年8月5日由建设单位组织工程监理单位和施工单位以及项目使用单位对项目进行验收并出具竣工验收记录，经各单位验收合格范围及数量如下：一是室外工程，破除原损坏混凝土路面，浇筑混凝土，对整体混凝土路面进行铣刨，挖除土方、新做雨水口、更换井盖，新做路缘石、沥青混凝土面层等；二是室内工程，对所有室内区域的装修包括墙面、地面、地砖、门窗、隔墙、灯饰、线缆、开关、车库车位标识标线，对茶水间、卫生间、中庭地砖、女儿墙、防水拆除新做等，屋顶防水以及建筑外立面灯饰及真石拆除新做等。</w:t>
      </w:r>
    </w:p>
    <w:p w:rsidR="00E46CD6" w:rsidRDefault="002336CD">
      <w:pPr>
        <w:pStyle w:val="ab"/>
        <w:outlineLvl w:val="2"/>
      </w:pPr>
      <w:bookmarkStart w:id="15" w:name="_Toc35588397"/>
      <w:bookmarkStart w:id="16" w:name="_Toc73095365"/>
      <w:r>
        <w:rPr>
          <w:rFonts w:hint="eastAsia"/>
        </w:rPr>
        <w:t>3.项目资金投入</w:t>
      </w:r>
      <w:bookmarkEnd w:id="15"/>
      <w:r>
        <w:rPr>
          <w:rFonts w:hint="eastAsia"/>
        </w:rPr>
        <w:t>和使用情况</w:t>
      </w:r>
      <w:bookmarkEnd w:id="16"/>
    </w:p>
    <w:p w:rsidR="00E46CD6" w:rsidRDefault="002336CD">
      <w:pPr>
        <w:pStyle w:val="ab"/>
      </w:pPr>
      <w:r>
        <w:rPr>
          <w:rFonts w:hint="eastAsia"/>
        </w:rPr>
        <w:t>2</w:t>
      </w:r>
      <w:r>
        <w:t>02</w:t>
      </w:r>
      <w:r>
        <w:rPr>
          <w:rFonts w:hint="eastAsia"/>
        </w:rPr>
        <w:t>3年度，项目年初批复预算金额为</w:t>
      </w:r>
      <w:r>
        <w:t>369</w:t>
      </w:r>
      <w:r>
        <w:rPr>
          <w:rFonts w:hint="eastAsia"/>
        </w:rPr>
        <w:t>.00万元，均为当年财政拨款；2023年9月27日，经北京市财政局</w:t>
      </w:r>
      <w:r>
        <w:rPr>
          <w:rFonts w:hAnsi="仿宋" w:hint="eastAsia"/>
        </w:rPr>
        <w:t>（以下简称“市财政局”）</w:t>
      </w:r>
      <w:r>
        <w:rPr>
          <w:rFonts w:hint="eastAsia"/>
        </w:rPr>
        <w:t>审批，项目预算核减6.759368万元；项目全年预算金额为</w:t>
      </w:r>
      <w:r>
        <w:t>362.240632</w:t>
      </w:r>
      <w:r>
        <w:rPr>
          <w:rFonts w:hint="eastAsia"/>
        </w:rPr>
        <w:t>万元。</w:t>
      </w:r>
      <w:bookmarkStart w:id="17" w:name="_Toc73095366"/>
      <w:bookmarkStart w:id="18" w:name="_Toc35588398"/>
      <w:r>
        <w:rPr>
          <w:rFonts w:hint="eastAsia"/>
        </w:rPr>
        <w:t>截至2</w:t>
      </w:r>
      <w:r>
        <w:t>02</w:t>
      </w:r>
      <w:r>
        <w:rPr>
          <w:rFonts w:hint="eastAsia"/>
        </w:rPr>
        <w:t>3年1</w:t>
      </w:r>
      <w:r>
        <w:t>2</w:t>
      </w:r>
      <w:r>
        <w:rPr>
          <w:rFonts w:hint="eastAsia"/>
        </w:rPr>
        <w:t>月3</w:t>
      </w:r>
      <w:r>
        <w:t>1</w:t>
      </w:r>
      <w:r>
        <w:rPr>
          <w:rFonts w:hint="eastAsia"/>
        </w:rPr>
        <w:t>日，项目预算资金已全部执行，分别于2023年6月支付合同预付款</w:t>
      </w:r>
      <w:r>
        <w:t>118</w:t>
      </w:r>
      <w:r>
        <w:rPr>
          <w:rFonts w:hint="eastAsia"/>
        </w:rPr>
        <w:t>.</w:t>
      </w:r>
      <w:r>
        <w:t>592069</w:t>
      </w:r>
      <w:r>
        <w:rPr>
          <w:rFonts w:hint="eastAsia"/>
        </w:rPr>
        <w:t>万元，于2023年9月支付合同尾款</w:t>
      </w:r>
      <w:r>
        <w:t>243.648563</w:t>
      </w:r>
      <w:r>
        <w:rPr>
          <w:rFonts w:hint="eastAsia"/>
        </w:rPr>
        <w:t>万元。项目预算执行率为100.00</w:t>
      </w:r>
      <w:r>
        <w:t>%</w:t>
      </w:r>
      <w:r>
        <w:rPr>
          <w:rFonts w:hint="eastAsia"/>
        </w:rPr>
        <w:t>。</w:t>
      </w:r>
    </w:p>
    <w:p w:rsidR="00E46CD6" w:rsidRDefault="002336CD">
      <w:pPr>
        <w:ind w:firstLine="640"/>
        <w:outlineLvl w:val="1"/>
        <w:rPr>
          <w:rFonts w:ascii="楷体_GB2312" w:eastAsia="楷体_GB2312"/>
          <w:szCs w:val="32"/>
        </w:rPr>
      </w:pPr>
      <w:bookmarkStart w:id="19" w:name="_Toc922"/>
      <w:r>
        <w:rPr>
          <w:rFonts w:ascii="楷体_GB2312" w:eastAsia="楷体_GB2312" w:hint="eastAsia"/>
          <w:szCs w:val="32"/>
        </w:rPr>
        <w:t>（二）项目绩效目标</w:t>
      </w:r>
      <w:bookmarkEnd w:id="17"/>
      <w:bookmarkEnd w:id="18"/>
      <w:bookmarkEnd w:id="19"/>
    </w:p>
    <w:p w:rsidR="00E46CD6" w:rsidRDefault="002336CD">
      <w:pPr>
        <w:pStyle w:val="ab"/>
        <w:outlineLvl w:val="2"/>
      </w:pPr>
      <w:r>
        <w:rPr>
          <w:rFonts w:hint="eastAsia"/>
        </w:rPr>
        <w:t>1.项目年度绩效目标</w:t>
      </w:r>
    </w:p>
    <w:p w:rsidR="00E46CD6" w:rsidRDefault="002336CD">
      <w:pPr>
        <w:pStyle w:val="ab"/>
        <w:rPr>
          <w:iCs/>
        </w:rPr>
      </w:pPr>
      <w:r>
        <w:t>项目</w:t>
      </w:r>
      <w:r>
        <w:rPr>
          <w:rFonts w:hint="eastAsia"/>
        </w:rPr>
        <w:t>年度绩效目标</w:t>
      </w:r>
      <w:r>
        <w:t>为：</w:t>
      </w:r>
      <w:bookmarkStart w:id="20" w:name="_Toc73095368"/>
      <w:bookmarkStart w:id="21" w:name="_Toc35588400"/>
      <w:r>
        <w:rPr>
          <w:rFonts w:hint="eastAsia"/>
        </w:rPr>
        <w:t>通过开展台基厂办公区2号院维修改造工作，消除各类安全隐患，各项指标操作性、稳定性、安全性增强，延长办公楼的使用期限，创造整洁舒适的办公环境。</w:t>
      </w:r>
    </w:p>
    <w:p w:rsidR="00E46CD6" w:rsidRDefault="002336CD">
      <w:pPr>
        <w:pStyle w:val="ab"/>
        <w:outlineLvl w:val="2"/>
      </w:pPr>
      <w:r>
        <w:rPr>
          <w:rFonts w:hint="eastAsia"/>
        </w:rPr>
        <w:t>2.项目年度绩效</w:t>
      </w:r>
      <w:bookmarkEnd w:id="20"/>
      <w:bookmarkEnd w:id="21"/>
      <w:r>
        <w:rPr>
          <w:rFonts w:hint="eastAsia"/>
        </w:rPr>
        <w:t>指标</w:t>
      </w:r>
    </w:p>
    <w:p w:rsidR="00E46CD6" w:rsidRDefault="002336CD">
      <w:pPr>
        <w:pStyle w:val="ab"/>
        <w:rPr>
          <w:rFonts w:ascii="黑体" w:eastAsia="黑体" w:hAnsi="黑体"/>
        </w:rPr>
      </w:pPr>
      <w:bookmarkStart w:id="22" w:name="_Toc35588401"/>
      <w:r>
        <w:rPr>
          <w:rFonts w:hint="eastAsia"/>
        </w:rPr>
        <w:t>围绕年度绩效目标，2</w:t>
      </w:r>
      <w:r>
        <w:t>02</w:t>
      </w:r>
      <w:r>
        <w:rPr>
          <w:rFonts w:hint="eastAsia"/>
        </w:rPr>
        <w:t>3年度项目设置年度绩效指标如下表</w:t>
      </w:r>
      <w:r>
        <w:rPr>
          <w:rFonts w:hAnsi="仿宋" w:cs="Arial" w:hint="eastAsia"/>
          <w:bCs/>
          <w:iCs/>
          <w:kern w:val="0"/>
        </w:rPr>
        <w:t>1所示</w:t>
      </w:r>
      <w:r>
        <w:rPr>
          <w:rFonts w:hAnsi="仿宋" w:hint="eastAsia"/>
          <w:iCs/>
        </w:rPr>
        <w:t>。</w:t>
      </w:r>
    </w:p>
    <w:p w:rsidR="00E46CD6" w:rsidRDefault="002336CD">
      <w:pPr>
        <w:pStyle w:val="ab"/>
        <w:ind w:firstLineChars="0" w:firstLine="0"/>
        <w:jc w:val="center"/>
        <w:rPr>
          <w:rFonts w:ascii="黑体" w:eastAsia="黑体" w:hAnsi="黑体"/>
          <w:sz w:val="28"/>
          <w:szCs w:val="28"/>
        </w:rPr>
      </w:pPr>
      <w:r>
        <w:rPr>
          <w:rFonts w:ascii="黑体" w:eastAsia="黑体" w:hAnsi="黑体" w:hint="eastAsia"/>
          <w:sz w:val="28"/>
          <w:szCs w:val="28"/>
        </w:rPr>
        <w:t>表1：</w:t>
      </w:r>
      <w:bookmarkStart w:id="23" w:name="_Hlk73095174"/>
      <w:r>
        <w:rPr>
          <w:rFonts w:ascii="黑体" w:eastAsia="黑体" w:hAnsi="黑体" w:hint="eastAsia"/>
          <w:sz w:val="28"/>
          <w:szCs w:val="28"/>
        </w:rPr>
        <w:t>2</w:t>
      </w:r>
      <w:r>
        <w:rPr>
          <w:rFonts w:ascii="黑体" w:eastAsia="黑体" w:hAnsi="黑体"/>
          <w:sz w:val="28"/>
          <w:szCs w:val="28"/>
        </w:rPr>
        <w:t>02</w:t>
      </w:r>
      <w:r>
        <w:rPr>
          <w:rFonts w:ascii="黑体" w:eastAsia="黑体" w:hAnsi="黑体" w:hint="eastAsia"/>
          <w:sz w:val="28"/>
          <w:szCs w:val="28"/>
        </w:rPr>
        <w:t>3年度</w:t>
      </w:r>
      <w:r>
        <w:rPr>
          <w:rFonts w:ascii="黑体" w:eastAsia="黑体" w:hAnsi="黑体"/>
          <w:sz w:val="28"/>
          <w:szCs w:val="28"/>
        </w:rPr>
        <w:t>项目绩效指标</w:t>
      </w:r>
      <w:bookmarkEnd w:id="23"/>
    </w:p>
    <w:tbl>
      <w:tblPr>
        <w:tblW w:w="5000" w:type="pct"/>
        <w:jc w:val="center"/>
        <w:tblCellMar>
          <w:left w:w="28" w:type="dxa"/>
          <w:right w:w="28" w:type="dxa"/>
        </w:tblCellMar>
        <w:tblLook w:val="04A0"/>
      </w:tblPr>
      <w:tblGrid>
        <w:gridCol w:w="995"/>
        <w:gridCol w:w="1143"/>
        <w:gridCol w:w="3998"/>
        <w:gridCol w:w="2764"/>
      </w:tblGrid>
      <w:tr w:rsidR="00E46CD6">
        <w:trPr>
          <w:trHeight w:val="397"/>
          <w:jc w:val="center"/>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642"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kern w:val="0"/>
                <w:sz w:val="20"/>
                <w:szCs w:val="20"/>
              </w:rPr>
            </w:pPr>
            <w:r>
              <w:rPr>
                <w:rFonts w:ascii="宋体" w:eastAsia="宋体" w:hAnsi="宋体" w:cs="宋体" w:hint="eastAsia"/>
                <w:b/>
                <w:bCs/>
                <w:kern w:val="0"/>
                <w:sz w:val="20"/>
                <w:szCs w:val="20"/>
              </w:rPr>
              <w:t>二级指标</w:t>
            </w:r>
          </w:p>
        </w:tc>
        <w:tc>
          <w:tcPr>
            <w:tcW w:w="2246"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kern w:val="0"/>
                <w:sz w:val="20"/>
                <w:szCs w:val="20"/>
              </w:rPr>
            </w:pPr>
            <w:r>
              <w:rPr>
                <w:rFonts w:ascii="宋体" w:eastAsia="宋体" w:hAnsi="宋体" w:cs="宋体" w:hint="eastAsia"/>
                <w:b/>
                <w:bCs/>
                <w:kern w:val="0"/>
                <w:sz w:val="20"/>
                <w:szCs w:val="20"/>
              </w:rPr>
              <w:t>三级指标</w:t>
            </w:r>
          </w:p>
        </w:tc>
        <w:tc>
          <w:tcPr>
            <w:tcW w:w="1553"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kern w:val="0"/>
                <w:sz w:val="20"/>
                <w:szCs w:val="20"/>
              </w:rPr>
            </w:pPr>
            <w:r>
              <w:rPr>
                <w:rFonts w:ascii="宋体" w:eastAsia="宋体" w:hAnsi="宋体" w:cs="宋体" w:hint="eastAsia"/>
                <w:b/>
                <w:bCs/>
                <w:kern w:val="0"/>
                <w:sz w:val="20"/>
                <w:szCs w:val="20"/>
              </w:rPr>
              <w:t>年度指标值</w:t>
            </w:r>
          </w:p>
        </w:tc>
      </w:tr>
      <w:tr w:rsidR="00E46CD6">
        <w:trPr>
          <w:trHeight w:val="397"/>
          <w:jc w:val="center"/>
        </w:trPr>
        <w:tc>
          <w:tcPr>
            <w:tcW w:w="559" w:type="pct"/>
            <w:vMerge w:val="restart"/>
            <w:tcBorders>
              <w:top w:val="nil"/>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产出指标</w:t>
            </w:r>
          </w:p>
        </w:tc>
        <w:tc>
          <w:tcPr>
            <w:tcW w:w="642"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2246"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办公用房修缮、改造成本</w:t>
            </w:r>
          </w:p>
        </w:tc>
        <w:tc>
          <w:tcPr>
            <w:tcW w:w="1553" w:type="pct"/>
            <w:tcBorders>
              <w:top w:val="nil"/>
              <w:left w:val="nil"/>
              <w:bottom w:val="single" w:sz="4" w:space="0" w:color="auto"/>
              <w:right w:val="single" w:sz="4" w:space="0" w:color="auto"/>
            </w:tcBorders>
            <w:shd w:val="clear" w:color="auto" w:fill="auto"/>
            <w:vAlign w:val="center"/>
          </w:tcPr>
          <w:p w:rsidR="00E46CD6" w:rsidRDefault="002336CD">
            <w:pPr>
              <w:widowControl/>
              <w:adjustRightInd/>
              <w:snapToGrid/>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≤369万元</w:t>
            </w:r>
          </w:p>
        </w:tc>
      </w:tr>
      <w:tr w:rsidR="00E46CD6">
        <w:trPr>
          <w:trHeight w:val="397"/>
          <w:jc w:val="center"/>
        </w:trPr>
        <w:tc>
          <w:tcPr>
            <w:tcW w:w="559" w:type="pct"/>
            <w:vMerge/>
            <w:tcBorders>
              <w:top w:val="nil"/>
              <w:left w:val="single" w:sz="4" w:space="0" w:color="auto"/>
              <w:bottom w:val="single" w:sz="4" w:space="0" w:color="auto"/>
              <w:right w:val="single" w:sz="4" w:space="0" w:color="auto"/>
            </w:tcBorders>
            <w:vAlign w:val="center"/>
          </w:tcPr>
          <w:p w:rsidR="00E46CD6" w:rsidRDefault="00E46CD6">
            <w:pPr>
              <w:widowControl/>
              <w:spacing w:line="240" w:lineRule="auto"/>
              <w:ind w:firstLineChars="0" w:firstLine="0"/>
              <w:jc w:val="left"/>
              <w:rPr>
                <w:rFonts w:ascii="宋体" w:eastAsia="宋体" w:hAnsi="宋体" w:cs="宋体"/>
                <w:kern w:val="0"/>
                <w:sz w:val="20"/>
                <w:szCs w:val="20"/>
              </w:rPr>
            </w:pPr>
          </w:p>
        </w:tc>
        <w:tc>
          <w:tcPr>
            <w:tcW w:w="642" w:type="pct"/>
            <w:vMerge w:val="restart"/>
            <w:tcBorders>
              <w:top w:val="single" w:sz="4" w:space="0" w:color="auto"/>
              <w:left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2246"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修缮、改造工程量</w:t>
            </w:r>
          </w:p>
        </w:tc>
        <w:tc>
          <w:tcPr>
            <w:tcW w:w="1553"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≥5000平方米</w:t>
            </w:r>
            <w:r>
              <w:rPr>
                <w:rFonts w:ascii="宋体" w:eastAsia="宋体" w:hAnsi="宋体" w:cs="宋体" w:hint="eastAsia"/>
                <w:kern w:val="0"/>
                <w:sz w:val="20"/>
                <w:szCs w:val="20"/>
              </w:rPr>
              <w:tab/>
            </w:r>
          </w:p>
        </w:tc>
      </w:tr>
      <w:tr w:rsidR="00E46CD6">
        <w:trPr>
          <w:trHeight w:val="397"/>
          <w:jc w:val="center"/>
        </w:trPr>
        <w:tc>
          <w:tcPr>
            <w:tcW w:w="559" w:type="pct"/>
            <w:vMerge/>
            <w:tcBorders>
              <w:top w:val="nil"/>
              <w:left w:val="single" w:sz="4" w:space="0" w:color="auto"/>
              <w:bottom w:val="single" w:sz="4" w:space="0" w:color="auto"/>
              <w:right w:val="single" w:sz="4" w:space="0" w:color="auto"/>
            </w:tcBorders>
            <w:vAlign w:val="center"/>
          </w:tcPr>
          <w:p w:rsidR="00E46CD6" w:rsidRDefault="00E46CD6">
            <w:pPr>
              <w:widowControl/>
              <w:spacing w:line="240" w:lineRule="auto"/>
              <w:ind w:firstLineChars="0" w:firstLine="0"/>
              <w:jc w:val="left"/>
              <w:rPr>
                <w:rFonts w:ascii="宋体" w:eastAsia="宋体" w:hAnsi="宋体" w:cs="宋体"/>
                <w:kern w:val="0"/>
                <w:sz w:val="20"/>
                <w:szCs w:val="20"/>
              </w:rPr>
            </w:pPr>
          </w:p>
        </w:tc>
        <w:tc>
          <w:tcPr>
            <w:tcW w:w="642" w:type="pct"/>
            <w:vMerge/>
            <w:tcBorders>
              <w:left w:val="single" w:sz="4" w:space="0" w:color="auto"/>
              <w:bottom w:val="single" w:sz="4" w:space="0" w:color="auto"/>
              <w:right w:val="single" w:sz="4" w:space="0" w:color="auto"/>
            </w:tcBorders>
            <w:shd w:val="clear" w:color="auto" w:fill="auto"/>
            <w:vAlign w:val="center"/>
          </w:tcPr>
          <w:p w:rsidR="00E46CD6" w:rsidRDefault="00E46CD6">
            <w:pPr>
              <w:widowControl/>
              <w:spacing w:line="240" w:lineRule="auto"/>
              <w:ind w:firstLineChars="0" w:firstLine="0"/>
              <w:jc w:val="left"/>
              <w:rPr>
                <w:rFonts w:ascii="宋体" w:eastAsia="宋体" w:hAnsi="宋体" w:cs="宋体"/>
                <w:kern w:val="0"/>
                <w:sz w:val="20"/>
                <w:szCs w:val="20"/>
              </w:rPr>
            </w:pPr>
          </w:p>
        </w:tc>
        <w:tc>
          <w:tcPr>
            <w:tcW w:w="2246"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竣工验收合格率</w:t>
            </w:r>
          </w:p>
        </w:tc>
        <w:tc>
          <w:tcPr>
            <w:tcW w:w="1553"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≥100%</w:t>
            </w:r>
          </w:p>
        </w:tc>
      </w:tr>
      <w:tr w:rsidR="00E46CD6">
        <w:trPr>
          <w:trHeight w:val="397"/>
          <w:jc w:val="center"/>
        </w:trPr>
        <w:tc>
          <w:tcPr>
            <w:tcW w:w="559" w:type="pct"/>
            <w:vMerge/>
            <w:tcBorders>
              <w:top w:val="nil"/>
              <w:left w:val="single" w:sz="4" w:space="0" w:color="auto"/>
              <w:bottom w:val="single" w:sz="4" w:space="0" w:color="auto"/>
              <w:right w:val="single" w:sz="4" w:space="0" w:color="auto"/>
            </w:tcBorders>
            <w:vAlign w:val="center"/>
          </w:tcPr>
          <w:p w:rsidR="00E46CD6" w:rsidRDefault="00E46CD6">
            <w:pPr>
              <w:widowControl/>
              <w:spacing w:line="240" w:lineRule="auto"/>
              <w:ind w:firstLineChars="0" w:firstLine="0"/>
              <w:jc w:val="left"/>
              <w:rPr>
                <w:rFonts w:ascii="宋体" w:eastAsia="宋体" w:hAnsi="宋体" w:cs="宋体"/>
                <w:kern w:val="0"/>
                <w:sz w:val="20"/>
                <w:szCs w:val="20"/>
              </w:rPr>
            </w:pPr>
          </w:p>
        </w:tc>
        <w:tc>
          <w:tcPr>
            <w:tcW w:w="642"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2246"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相关维修改造工作均符合行业质量要求</w:t>
            </w:r>
          </w:p>
        </w:tc>
        <w:tc>
          <w:tcPr>
            <w:tcW w:w="1553"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优良中低差</w:t>
            </w:r>
          </w:p>
        </w:tc>
      </w:tr>
      <w:tr w:rsidR="00E46CD6">
        <w:trPr>
          <w:trHeight w:val="397"/>
          <w:jc w:val="center"/>
        </w:trPr>
        <w:tc>
          <w:tcPr>
            <w:tcW w:w="559" w:type="pct"/>
            <w:vMerge/>
            <w:tcBorders>
              <w:top w:val="nil"/>
              <w:left w:val="single" w:sz="4" w:space="0" w:color="auto"/>
              <w:bottom w:val="single" w:sz="4" w:space="0" w:color="auto"/>
              <w:right w:val="single" w:sz="4" w:space="0" w:color="auto"/>
            </w:tcBorders>
            <w:vAlign w:val="center"/>
          </w:tcPr>
          <w:p w:rsidR="00E46CD6" w:rsidRDefault="00E46CD6">
            <w:pPr>
              <w:widowControl/>
              <w:spacing w:line="240" w:lineRule="auto"/>
              <w:ind w:firstLineChars="0" w:firstLine="0"/>
              <w:jc w:val="left"/>
              <w:rPr>
                <w:rFonts w:ascii="宋体" w:eastAsia="宋体" w:hAnsi="宋体" w:cs="宋体"/>
                <w:kern w:val="0"/>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时效指标</w:t>
            </w:r>
          </w:p>
        </w:tc>
        <w:tc>
          <w:tcPr>
            <w:tcW w:w="2246" w:type="pct"/>
            <w:tcBorders>
              <w:top w:val="nil"/>
              <w:left w:val="nil"/>
              <w:bottom w:val="single" w:sz="4" w:space="0" w:color="auto"/>
              <w:right w:val="nil"/>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及时完成年度内维修改造工作</w:t>
            </w:r>
          </w:p>
        </w:tc>
        <w:tc>
          <w:tcPr>
            <w:tcW w:w="1553" w:type="pct"/>
            <w:tcBorders>
              <w:top w:val="nil"/>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≤11月</w:t>
            </w:r>
          </w:p>
        </w:tc>
      </w:tr>
      <w:tr w:rsidR="00E46CD6">
        <w:trPr>
          <w:trHeight w:val="397"/>
          <w:jc w:val="center"/>
        </w:trPr>
        <w:tc>
          <w:tcPr>
            <w:tcW w:w="559" w:type="pct"/>
            <w:tcBorders>
              <w:top w:val="nil"/>
              <w:left w:val="single" w:sz="4" w:space="0" w:color="auto"/>
              <w:bottom w:val="single" w:sz="4" w:space="0" w:color="000000"/>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效益指标</w:t>
            </w:r>
          </w:p>
        </w:tc>
        <w:tc>
          <w:tcPr>
            <w:tcW w:w="642"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可持续影响指标</w:t>
            </w:r>
          </w:p>
        </w:tc>
        <w:tc>
          <w:tcPr>
            <w:tcW w:w="2246"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通过办公区维修改造工作的开展，提升办公环境的安全性、延长办公楼使用寿命</w:t>
            </w:r>
          </w:p>
        </w:tc>
        <w:tc>
          <w:tcPr>
            <w:tcW w:w="1553" w:type="pct"/>
            <w:tcBorders>
              <w:top w:val="nil"/>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优良中低差</w:t>
            </w:r>
          </w:p>
        </w:tc>
      </w:tr>
      <w:tr w:rsidR="00E46CD6">
        <w:trPr>
          <w:trHeight w:val="397"/>
          <w:jc w:val="center"/>
        </w:trPr>
        <w:tc>
          <w:tcPr>
            <w:tcW w:w="559" w:type="pct"/>
            <w:tcBorders>
              <w:top w:val="nil"/>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满意度指标</w:t>
            </w:r>
          </w:p>
        </w:tc>
        <w:tc>
          <w:tcPr>
            <w:tcW w:w="642" w:type="pct"/>
            <w:tcBorders>
              <w:top w:val="single" w:sz="4" w:space="0" w:color="auto"/>
              <w:left w:val="nil"/>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服务对象满意度指标</w:t>
            </w:r>
          </w:p>
        </w:tc>
        <w:tc>
          <w:tcPr>
            <w:tcW w:w="2246" w:type="pct"/>
            <w:tcBorders>
              <w:top w:val="single" w:sz="4" w:space="0" w:color="auto"/>
              <w:left w:val="nil"/>
              <w:bottom w:val="single" w:sz="4" w:space="0" w:color="auto"/>
              <w:right w:val="nil"/>
            </w:tcBorders>
            <w:shd w:val="clear" w:color="auto" w:fill="auto"/>
            <w:vAlign w:val="center"/>
          </w:tcPr>
          <w:p w:rsidR="00E46CD6" w:rsidRDefault="002336CD">
            <w:pPr>
              <w:widowControl/>
              <w:spacing w:line="240" w:lineRule="auto"/>
              <w:ind w:firstLineChars="0" w:firstLine="0"/>
              <w:rPr>
                <w:rFonts w:ascii="宋体" w:eastAsia="宋体" w:hAnsi="宋体" w:cs="宋体"/>
                <w:kern w:val="0"/>
                <w:sz w:val="20"/>
                <w:szCs w:val="20"/>
              </w:rPr>
            </w:pPr>
            <w:r>
              <w:rPr>
                <w:rFonts w:ascii="宋体" w:eastAsia="宋体" w:hAnsi="宋体" w:cs="宋体" w:hint="eastAsia"/>
                <w:kern w:val="0"/>
                <w:sz w:val="20"/>
                <w:szCs w:val="20"/>
              </w:rPr>
              <w:t>入驻单位满意度</w:t>
            </w:r>
          </w:p>
        </w:tc>
        <w:tc>
          <w:tcPr>
            <w:tcW w:w="1553" w:type="pct"/>
            <w:tcBorders>
              <w:top w:val="nil"/>
              <w:left w:val="single" w:sz="4" w:space="0" w:color="auto"/>
              <w:bottom w:val="single" w:sz="4" w:space="0" w:color="auto"/>
              <w:right w:val="single" w:sz="4" w:space="0" w:color="auto"/>
            </w:tcBorders>
            <w:shd w:val="clear" w:color="auto" w:fill="auto"/>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≥95%</w:t>
            </w:r>
          </w:p>
        </w:tc>
      </w:tr>
    </w:tbl>
    <w:p w:rsidR="00E46CD6" w:rsidRDefault="00E46CD6">
      <w:pPr>
        <w:spacing w:line="240" w:lineRule="auto"/>
        <w:ind w:firstLineChars="0" w:firstLine="0"/>
        <w:rPr>
          <w:rFonts w:ascii="黑体" w:eastAsia="黑体"/>
          <w:color w:val="000000"/>
          <w:sz w:val="20"/>
          <w:szCs w:val="20"/>
        </w:rPr>
      </w:pPr>
    </w:p>
    <w:p w:rsidR="00E46CD6" w:rsidRDefault="002336CD">
      <w:pPr>
        <w:ind w:firstLine="640"/>
        <w:outlineLvl w:val="0"/>
        <w:rPr>
          <w:rFonts w:ascii="黑体" w:eastAsia="黑体"/>
          <w:color w:val="000000"/>
          <w:szCs w:val="32"/>
        </w:rPr>
      </w:pPr>
      <w:bookmarkStart w:id="24" w:name="_Toc73095369"/>
      <w:bookmarkStart w:id="25" w:name="_Toc27420"/>
      <w:r>
        <w:rPr>
          <w:rFonts w:ascii="黑体" w:eastAsia="黑体" w:hint="eastAsia"/>
          <w:color w:val="000000"/>
          <w:szCs w:val="32"/>
        </w:rPr>
        <w:t>二、绩效评价工作开展情况</w:t>
      </w:r>
      <w:bookmarkEnd w:id="22"/>
      <w:bookmarkEnd w:id="24"/>
      <w:bookmarkEnd w:id="25"/>
    </w:p>
    <w:p w:rsidR="00E46CD6" w:rsidRDefault="002336CD">
      <w:pPr>
        <w:ind w:firstLine="640"/>
        <w:outlineLvl w:val="1"/>
        <w:rPr>
          <w:rFonts w:ascii="楷体_GB2312" w:eastAsia="楷体_GB2312"/>
          <w:color w:val="000000"/>
          <w:szCs w:val="32"/>
        </w:rPr>
      </w:pPr>
      <w:bookmarkStart w:id="26" w:name="_Toc313007027"/>
      <w:bookmarkStart w:id="27" w:name="_Toc17772"/>
      <w:bookmarkStart w:id="28" w:name="_Toc73095370"/>
      <w:bookmarkStart w:id="29" w:name="_Toc35588402"/>
      <w:r>
        <w:rPr>
          <w:rFonts w:ascii="楷体_GB2312" w:eastAsia="楷体_GB2312" w:hint="eastAsia"/>
          <w:color w:val="000000"/>
          <w:szCs w:val="32"/>
        </w:rPr>
        <w:t>（一）</w:t>
      </w:r>
      <w:bookmarkEnd w:id="26"/>
      <w:r>
        <w:rPr>
          <w:rFonts w:ascii="楷体_GB2312" w:eastAsia="楷体_GB2312" w:hint="eastAsia"/>
          <w:color w:val="000000"/>
          <w:szCs w:val="32"/>
        </w:rPr>
        <w:t>绩效评价目的、对象及范围</w:t>
      </w:r>
      <w:bookmarkEnd w:id="27"/>
      <w:bookmarkEnd w:id="28"/>
      <w:bookmarkEnd w:id="29"/>
    </w:p>
    <w:p w:rsidR="00E46CD6" w:rsidRDefault="002336CD">
      <w:pPr>
        <w:ind w:firstLine="640"/>
        <w:rPr>
          <w:rFonts w:ascii="仿宋_GB2312" w:hAnsi="仿宋" w:cs="仿宋"/>
          <w:b/>
          <w:bCs/>
          <w:szCs w:val="32"/>
        </w:rPr>
      </w:pPr>
      <w:bookmarkStart w:id="30" w:name="_Toc313007028"/>
      <w:bookmarkStart w:id="31" w:name="_Toc35588403"/>
      <w:r>
        <w:rPr>
          <w:rFonts w:ascii="仿宋_GB2312" w:hAnsi="仿宋"/>
          <w:szCs w:val="32"/>
        </w:rPr>
        <w:t>为深入贯彻落实</w:t>
      </w:r>
      <w:r>
        <w:rPr>
          <w:rFonts w:ascii="仿宋_GB2312" w:hAnsi="仿宋" w:hint="eastAsia"/>
          <w:szCs w:val="32"/>
        </w:rPr>
        <w:t>市财政局《关于印发进一步深化项目支出绩效预算管理改革的意见的通知》</w:t>
      </w:r>
      <w:r>
        <w:rPr>
          <w:rFonts w:ascii="仿宋_GB2312" w:hAnsi="宋体" w:cs="宋体" w:hint="eastAsia"/>
          <w:kern w:val="0"/>
          <w:szCs w:val="32"/>
        </w:rPr>
        <w:t>（京财预〔2017〕2944号）</w:t>
      </w:r>
      <w:r>
        <w:rPr>
          <w:rFonts w:ascii="仿宋_GB2312" w:hAnsi="仿宋"/>
          <w:szCs w:val="32"/>
        </w:rPr>
        <w:t>等文件要求，根据</w:t>
      </w:r>
      <w:r>
        <w:rPr>
          <w:rFonts w:ascii="仿宋_GB2312" w:hAnsi="仿宋" w:hint="eastAsia"/>
          <w:szCs w:val="32"/>
        </w:rPr>
        <w:t>《北京市项目支出绩效评价管理办法》（京财绩效〔2020〕2146号）（以下简称“京财绩效2146号文”）、《关于开展2024年预算绩效管理相关工作的函》等</w:t>
      </w:r>
      <w:r>
        <w:rPr>
          <w:rFonts w:ascii="仿宋_GB2312" w:hAnsi="仿宋"/>
          <w:szCs w:val="32"/>
        </w:rPr>
        <w:t>文件精神，</w:t>
      </w:r>
      <w:r>
        <w:rPr>
          <w:rFonts w:ascii="仿宋_GB2312" w:hAnsi="仿宋" w:hint="eastAsia"/>
          <w:szCs w:val="32"/>
        </w:rPr>
        <w:t>本次评价</w:t>
      </w:r>
      <w:r>
        <w:rPr>
          <w:rFonts w:ascii="仿宋_GB2312" w:hAnsi="仿宋"/>
          <w:szCs w:val="32"/>
        </w:rPr>
        <w:t>聚焦</w:t>
      </w:r>
      <w:r>
        <w:rPr>
          <w:rFonts w:ascii="仿宋_GB2312" w:hAnsi="仿宋" w:hint="eastAsia"/>
          <w:szCs w:val="32"/>
        </w:rPr>
        <w:t>市机关事务管理中心2023年台基厂2号院维修改造经费项目</w:t>
      </w:r>
      <w:r>
        <w:rPr>
          <w:rFonts w:ascii="仿宋_GB2312" w:hAnsi="仿宋"/>
          <w:szCs w:val="32"/>
        </w:rPr>
        <w:t>，围绕决策、过程、产出及效益情况开展评价，总结经验，发现问题，剖析原因，提出改进建议，为相关部门科学决策、规范管理提供参考，进一步</w:t>
      </w:r>
      <w:r>
        <w:rPr>
          <w:rFonts w:ascii="仿宋_GB2312" w:hAnsi="仿宋" w:hint="eastAsia"/>
          <w:szCs w:val="32"/>
        </w:rPr>
        <w:t>提升办公楼的使用安全，创造整洁舒适的办公环境</w:t>
      </w:r>
      <w:r>
        <w:rPr>
          <w:rFonts w:ascii="仿宋_GB2312" w:hAnsi="仿宋"/>
          <w:szCs w:val="32"/>
        </w:rPr>
        <w:t>，提高财政资金配置</w:t>
      </w:r>
      <w:r>
        <w:rPr>
          <w:rFonts w:ascii="仿宋_GB2312" w:hAnsi="仿宋" w:hint="eastAsia"/>
          <w:szCs w:val="32"/>
        </w:rPr>
        <w:t>、</w:t>
      </w:r>
      <w:r>
        <w:rPr>
          <w:rFonts w:ascii="仿宋_GB2312" w:hAnsi="仿宋"/>
          <w:szCs w:val="32"/>
        </w:rPr>
        <w:t>使用效益。</w:t>
      </w:r>
    </w:p>
    <w:p w:rsidR="00E46CD6" w:rsidRDefault="002336CD">
      <w:pPr>
        <w:ind w:firstLine="640"/>
        <w:outlineLvl w:val="1"/>
        <w:rPr>
          <w:rFonts w:ascii="楷体_GB2312" w:eastAsia="楷体_GB2312"/>
          <w:color w:val="000000"/>
          <w:szCs w:val="32"/>
        </w:rPr>
      </w:pPr>
      <w:bookmarkStart w:id="32" w:name="_Toc73095371"/>
      <w:bookmarkStart w:id="33" w:name="_Toc2153"/>
      <w:r>
        <w:rPr>
          <w:rFonts w:ascii="楷体_GB2312" w:eastAsia="楷体_GB2312" w:hint="eastAsia"/>
          <w:color w:val="000000"/>
          <w:szCs w:val="32"/>
        </w:rPr>
        <w:t>（二）绩效评价原则、</w:t>
      </w:r>
      <w:bookmarkEnd w:id="30"/>
      <w:r>
        <w:rPr>
          <w:rFonts w:ascii="楷体_GB2312" w:eastAsia="楷体_GB2312" w:hint="eastAsia"/>
          <w:color w:val="000000"/>
          <w:szCs w:val="32"/>
        </w:rPr>
        <w:t>方法及指标体系</w:t>
      </w:r>
      <w:bookmarkEnd w:id="31"/>
      <w:bookmarkEnd w:id="32"/>
      <w:bookmarkEnd w:id="33"/>
    </w:p>
    <w:p w:rsidR="00E46CD6" w:rsidRDefault="002336CD">
      <w:pPr>
        <w:pStyle w:val="ab"/>
        <w:outlineLvl w:val="2"/>
      </w:pPr>
      <w:bookmarkStart w:id="34" w:name="_Toc313007030"/>
      <w:r>
        <w:rPr>
          <w:rFonts w:hint="eastAsia"/>
        </w:rPr>
        <w:t>1.评价原则和方法</w:t>
      </w:r>
    </w:p>
    <w:p w:rsidR="00E46CD6" w:rsidRDefault="002336CD">
      <w:pPr>
        <w:pStyle w:val="ab"/>
        <w:wordWrap w:val="0"/>
        <w:topLinePunct/>
        <w:rPr>
          <w:rFonts w:ascii="黑体" w:eastAsia="黑体" w:hAnsi="黑体"/>
          <w:color w:val="000000"/>
        </w:rPr>
      </w:pPr>
      <w:r>
        <w:rPr>
          <w:rFonts w:hAnsi="宋体" w:hint="eastAsia"/>
          <w:bCs/>
          <w:color w:val="000000"/>
        </w:rPr>
        <w:t>本次评价本着问题导向、系统评价、科学客观、讲求绩效</w:t>
      </w:r>
      <w:r>
        <w:rPr>
          <w:rFonts w:hint="eastAsia"/>
          <w:color w:val="000000"/>
        </w:rPr>
        <w:t>的</w:t>
      </w:r>
      <w:r>
        <w:rPr>
          <w:rFonts w:hAnsi="宋体" w:hint="eastAsia"/>
          <w:bCs/>
          <w:color w:val="000000"/>
        </w:rPr>
        <w:t>原则，</w:t>
      </w:r>
      <w:r>
        <w:rPr>
          <w:rFonts w:hint="eastAsia"/>
          <w:color w:val="000000"/>
        </w:rPr>
        <w:t>采用现场评价和非现场评价相结合、定性分析与定量分析相结合的方式，运用案卷研究、专家咨询等方法，对项目决策、过程、产出、效益四方面进行综合评价。</w:t>
      </w:r>
    </w:p>
    <w:p w:rsidR="00E46CD6" w:rsidRDefault="002336CD">
      <w:pPr>
        <w:pStyle w:val="ab"/>
        <w:outlineLvl w:val="2"/>
      </w:pPr>
      <w:r>
        <w:rPr>
          <w:rFonts w:hint="eastAsia"/>
        </w:rPr>
        <w:t>2.评价指标体系</w:t>
      </w:r>
      <w:bookmarkEnd w:id="34"/>
    </w:p>
    <w:p w:rsidR="00E46CD6" w:rsidRDefault="002336CD">
      <w:pPr>
        <w:pStyle w:val="ab"/>
      </w:pPr>
      <w:bookmarkStart w:id="35" w:name="_Toc313007032"/>
      <w:bookmarkStart w:id="36" w:name="_Toc35588404"/>
      <w:r>
        <w:rPr>
          <w:rFonts w:hint="eastAsia"/>
        </w:rPr>
        <w:t>根据京财绩效2146号文相关精神，结合项目特点，在与专家组、项目单位充分协商的基础上，评价工作组细化了该项目的绩效评价指标体系，详见附件1。评价指标体系总分值为100分，其中：项目决策</w:t>
      </w:r>
      <w:r>
        <w:t>10</w:t>
      </w:r>
      <w:r>
        <w:rPr>
          <w:rFonts w:hint="eastAsia"/>
        </w:rPr>
        <w:t>分，项目过程</w:t>
      </w:r>
      <w:r>
        <w:t>20</w:t>
      </w:r>
      <w:r>
        <w:rPr>
          <w:rFonts w:hint="eastAsia"/>
        </w:rPr>
        <w:t>分，项目产出</w:t>
      </w:r>
      <w:r>
        <w:t>40</w:t>
      </w:r>
      <w:r>
        <w:rPr>
          <w:rFonts w:hint="eastAsia"/>
        </w:rPr>
        <w:t>分，项目效益3</w:t>
      </w:r>
      <w:r>
        <w:t>0</w:t>
      </w:r>
      <w:r>
        <w:rPr>
          <w:rFonts w:hint="eastAsia"/>
        </w:rPr>
        <w:t>分。绩效评价综合绩效级别分为4个等级：</w:t>
      </w:r>
    </w:p>
    <w:p w:rsidR="00E46CD6" w:rsidRDefault="002336CD">
      <w:pPr>
        <w:pStyle w:val="ab"/>
        <w:rPr>
          <w:rFonts w:hAnsi="仿宋_GB2312" w:cs="仿宋_GB2312"/>
        </w:rPr>
      </w:pPr>
      <w:r>
        <w:rPr>
          <w:rFonts w:hint="eastAsia"/>
        </w:rPr>
        <w:t>综合得分在90（含）-100分为优；</w:t>
      </w:r>
    </w:p>
    <w:p w:rsidR="00E46CD6" w:rsidRDefault="002336CD">
      <w:pPr>
        <w:pStyle w:val="ab"/>
      </w:pPr>
      <w:r>
        <w:rPr>
          <w:rFonts w:hint="eastAsia"/>
        </w:rPr>
        <w:t>综合得分在</w:t>
      </w:r>
      <w:r>
        <w:t>80</w:t>
      </w:r>
      <w:r>
        <w:rPr>
          <w:rFonts w:hint="eastAsia"/>
        </w:rPr>
        <w:t>（含）-90分为良；</w:t>
      </w:r>
    </w:p>
    <w:p w:rsidR="00E46CD6" w:rsidRDefault="002336CD">
      <w:pPr>
        <w:pStyle w:val="ab"/>
      </w:pPr>
      <w:r>
        <w:rPr>
          <w:rFonts w:hint="eastAsia"/>
        </w:rPr>
        <w:t>综合得分在60（含）-</w:t>
      </w:r>
      <w:r>
        <w:t>80</w:t>
      </w:r>
      <w:r>
        <w:rPr>
          <w:rFonts w:hint="eastAsia"/>
        </w:rPr>
        <w:t>分为中；</w:t>
      </w:r>
    </w:p>
    <w:p w:rsidR="00E46CD6" w:rsidRDefault="002336CD">
      <w:pPr>
        <w:pStyle w:val="ab"/>
      </w:pPr>
      <w:r>
        <w:rPr>
          <w:rFonts w:hint="eastAsia"/>
        </w:rPr>
        <w:t>综合得分在60分以下为差。</w:t>
      </w:r>
    </w:p>
    <w:p w:rsidR="00E46CD6" w:rsidRDefault="002336CD">
      <w:pPr>
        <w:ind w:firstLine="640"/>
        <w:outlineLvl w:val="1"/>
        <w:rPr>
          <w:rFonts w:ascii="楷体_GB2312" w:eastAsia="楷体_GB2312"/>
          <w:color w:val="000000"/>
          <w:szCs w:val="32"/>
        </w:rPr>
      </w:pPr>
      <w:bookmarkStart w:id="37" w:name="_Toc31834"/>
      <w:bookmarkStart w:id="38" w:name="_Toc73095372"/>
      <w:r>
        <w:rPr>
          <w:rFonts w:ascii="楷体_GB2312" w:eastAsia="楷体_GB2312" w:hint="eastAsia"/>
          <w:color w:val="000000"/>
          <w:szCs w:val="32"/>
        </w:rPr>
        <w:t>（三）绩效评价工作过程</w:t>
      </w:r>
      <w:bookmarkEnd w:id="35"/>
      <w:bookmarkEnd w:id="36"/>
      <w:bookmarkEnd w:id="37"/>
      <w:bookmarkEnd w:id="38"/>
    </w:p>
    <w:p w:rsidR="00E46CD6" w:rsidRDefault="002336CD">
      <w:pPr>
        <w:pStyle w:val="ab"/>
        <w:outlineLvl w:val="2"/>
      </w:pPr>
      <w:bookmarkStart w:id="39" w:name="_Toc73095373"/>
      <w:r>
        <w:rPr>
          <w:rFonts w:hint="eastAsia"/>
        </w:rPr>
        <w:t>1.准备阶段</w:t>
      </w:r>
      <w:bookmarkEnd w:id="39"/>
    </w:p>
    <w:p w:rsidR="00E46CD6" w:rsidRDefault="002336CD">
      <w:pPr>
        <w:pStyle w:val="ab"/>
      </w:pPr>
      <w:r>
        <w:rPr>
          <w:rFonts w:hint="eastAsia"/>
        </w:rPr>
        <w:t>根据该</w:t>
      </w:r>
      <w:r>
        <w:t>项目</w:t>
      </w:r>
      <w:r>
        <w:rPr>
          <w:rFonts w:hint="eastAsia"/>
        </w:rPr>
        <w:t>的主要内容和工程施工类项目特点，评价机构组建评价工作组，</w:t>
      </w:r>
      <w:r>
        <w:rPr>
          <w:rFonts w:hAnsi="宋体" w:hint="eastAsia"/>
        </w:rPr>
        <w:t>入户</w:t>
      </w:r>
      <w:r>
        <w:rPr>
          <w:rFonts w:hAnsi="宋体" w:cs="宋体" w:hint="eastAsia"/>
          <w:color w:val="000000"/>
          <w:kern w:val="0"/>
        </w:rPr>
        <w:t>辅导项目单位撰写绩效报告、准备资料、完善绩效目标申报表；</w:t>
      </w:r>
      <w:r>
        <w:rPr>
          <w:rFonts w:hAnsi="宋体" w:hint="eastAsia"/>
        </w:rPr>
        <w:t>在与主管部门、项目单位充分沟通的基础上进行项目资料收集、整理和分析工作；</w:t>
      </w:r>
      <w:r>
        <w:rPr>
          <w:rFonts w:hAnsi="宋体" w:cs="宋体" w:hint="eastAsia"/>
          <w:color w:val="000000"/>
          <w:kern w:val="0"/>
        </w:rPr>
        <w:t>辅导项目单位完善绩效报告，形成绩效报告终稿；完成专家遴选等相关工作，组建绩效评价专家组，</w:t>
      </w:r>
      <w:r>
        <w:rPr>
          <w:rFonts w:hAnsi="宋体" w:hint="eastAsia"/>
        </w:rPr>
        <w:t>包括</w:t>
      </w:r>
      <w:r>
        <w:rPr>
          <w:rFonts w:hAnsi="宋体"/>
        </w:rPr>
        <w:t>1</w:t>
      </w:r>
      <w:r>
        <w:rPr>
          <w:rFonts w:hAnsi="宋体" w:hint="eastAsia"/>
        </w:rPr>
        <w:t>名业务专家、</w:t>
      </w:r>
      <w:r>
        <w:rPr>
          <w:rFonts w:hAnsi="宋体"/>
        </w:rPr>
        <w:t>1</w:t>
      </w:r>
      <w:r>
        <w:rPr>
          <w:rFonts w:hAnsi="宋体" w:hint="eastAsia"/>
        </w:rPr>
        <w:t>名财务专家、</w:t>
      </w:r>
      <w:r>
        <w:rPr>
          <w:rFonts w:hAnsi="宋体"/>
        </w:rPr>
        <w:t>1</w:t>
      </w:r>
      <w:r>
        <w:rPr>
          <w:rFonts w:hAnsi="宋体" w:hint="eastAsia"/>
        </w:rPr>
        <w:t>名管理专家；根据项目情况及资料分析情况，评价工作组与专家组共同编制</w:t>
      </w:r>
      <w:r>
        <w:rPr>
          <w:rFonts w:hAnsi="宋体" w:cs="宋体" w:hint="eastAsia"/>
          <w:color w:val="000000"/>
          <w:kern w:val="0"/>
        </w:rPr>
        <w:t>项目评价工作方案</w:t>
      </w:r>
      <w:r>
        <w:rPr>
          <w:rFonts w:hAnsi="宋体" w:hint="eastAsia"/>
        </w:rPr>
        <w:t>。</w:t>
      </w:r>
    </w:p>
    <w:p w:rsidR="00E46CD6" w:rsidRDefault="002336CD">
      <w:pPr>
        <w:pStyle w:val="ab"/>
        <w:outlineLvl w:val="2"/>
      </w:pPr>
      <w:bookmarkStart w:id="40" w:name="_Toc73095374"/>
      <w:r>
        <w:rPr>
          <w:rFonts w:hint="eastAsia"/>
        </w:rPr>
        <w:t>2.实施阶段</w:t>
      </w:r>
      <w:bookmarkEnd w:id="40"/>
    </w:p>
    <w:p w:rsidR="00E46CD6" w:rsidRDefault="002336CD">
      <w:pPr>
        <w:pStyle w:val="ab"/>
      </w:pPr>
      <w:r>
        <w:rPr>
          <w:rFonts w:hint="eastAsia"/>
        </w:rPr>
        <w:t>按照既定评价工作安排，评价工作组在资料审阅及电话沟通的基础上，于2024年5月采取函评的方式邀请专家组远程根据评价标准和要求，对收集到的书面材料进行分析和评价。</w:t>
      </w:r>
      <w:r>
        <w:t>根据收集的数据与资料，</w:t>
      </w:r>
      <w:r>
        <w:rPr>
          <w:rFonts w:hint="eastAsia"/>
        </w:rPr>
        <w:t>经</w:t>
      </w:r>
      <w:r>
        <w:t>综合分析形成初步评价结论。</w:t>
      </w:r>
    </w:p>
    <w:p w:rsidR="00E46CD6" w:rsidRDefault="002336CD">
      <w:pPr>
        <w:pStyle w:val="ab"/>
        <w:outlineLvl w:val="2"/>
      </w:pPr>
      <w:bookmarkStart w:id="41" w:name="_Toc73095375"/>
      <w:r>
        <w:rPr>
          <w:rFonts w:hint="eastAsia"/>
        </w:rPr>
        <w:t>3.评价分析阶段</w:t>
      </w:r>
      <w:bookmarkEnd w:id="41"/>
    </w:p>
    <w:p w:rsidR="00E46CD6" w:rsidRDefault="002336CD">
      <w:pPr>
        <w:pStyle w:val="ab"/>
      </w:pPr>
      <w:r>
        <w:rPr>
          <w:rFonts w:hint="eastAsia"/>
        </w:rPr>
        <w:t>评价工作组根据收集到的项目资料以及专家组意见，对项目决策、过程、产出及效益情况进行综合分析，按照规定的文本格式和内容撰写绩效评价报告，经内部三级复核后提交相关单位征求意见。</w:t>
      </w:r>
      <w:r>
        <w:rPr>
          <w:rFonts w:hAnsi="宋体" w:hint="eastAsia"/>
        </w:rPr>
        <w:t>根据反馈意见，修改形成绩效评价报告正式稿，报送市机关事务管理中心</w:t>
      </w:r>
      <w:r>
        <w:rPr>
          <w:rFonts w:hint="eastAsia"/>
        </w:rPr>
        <w:t>。</w:t>
      </w:r>
    </w:p>
    <w:p w:rsidR="00E46CD6" w:rsidRDefault="002336CD">
      <w:pPr>
        <w:ind w:firstLine="640"/>
        <w:outlineLvl w:val="0"/>
        <w:rPr>
          <w:rFonts w:ascii="黑体" w:eastAsia="黑体"/>
          <w:szCs w:val="32"/>
        </w:rPr>
      </w:pPr>
      <w:bookmarkStart w:id="42" w:name="_Toc4539"/>
      <w:r>
        <w:rPr>
          <w:rFonts w:ascii="黑体" w:eastAsia="黑体" w:hint="eastAsia"/>
          <w:szCs w:val="32"/>
        </w:rPr>
        <w:t>三、综合评价情况及评价结论</w:t>
      </w:r>
      <w:bookmarkEnd w:id="42"/>
    </w:p>
    <w:p w:rsidR="00E46CD6" w:rsidRDefault="002336CD">
      <w:pPr>
        <w:pStyle w:val="ab"/>
        <w:rPr>
          <w:highlight w:val="yellow"/>
        </w:rPr>
      </w:pPr>
      <w:r>
        <w:rPr>
          <w:rFonts w:hint="eastAsia"/>
        </w:rPr>
        <w:t>2023年度，通过对台基厂大街2号院室内和室外共5500平方米办公用房进行修缮改造，改善了整体办公环境，延长了办公楼使用寿命。</w:t>
      </w:r>
      <w:r>
        <w:rPr>
          <w:rFonts w:hAnsi="宋体" w:hint="eastAsia"/>
        </w:rPr>
        <w:t>但评价发现，</w:t>
      </w:r>
      <w:r>
        <w:rPr>
          <w:rFonts w:hAnsi="仿宋" w:cs="仿宋" w:hint="eastAsia"/>
          <w:iCs/>
          <w:color w:val="000000"/>
        </w:rPr>
        <w:t>项目的实施还存在</w:t>
      </w:r>
      <w:r>
        <w:rPr>
          <w:rFonts w:hAnsi="仿宋" w:cs="仿宋_GB2312" w:hint="eastAsia"/>
          <w:bCs/>
          <w:color w:val="000000"/>
        </w:rPr>
        <w:t>一些问题，具体体现在：一是项目前期需求调研不够充分，预算编制科学性有待增强；二是项目执行过程规范性存在不足，过程管理需要强化；三是</w:t>
      </w:r>
      <w:r>
        <w:rPr>
          <w:rFonts w:hint="eastAsia"/>
        </w:rPr>
        <w:t>项目效益有待进一步挖掘，满意度调查有待开展</w:t>
      </w:r>
      <w:r>
        <w:rPr>
          <w:rFonts w:hAnsi="宋体" w:hint="eastAsia"/>
        </w:rPr>
        <w:t>。综上，项目综合评价得分85.77分，得分率85.77%，评价等级“良”（见表2）。</w:t>
      </w:r>
    </w:p>
    <w:p w:rsidR="00E46CD6" w:rsidRDefault="002336CD">
      <w:pPr>
        <w:ind w:firstLineChars="0" w:firstLine="0"/>
        <w:jc w:val="center"/>
        <w:rPr>
          <w:rFonts w:ascii="黑体" w:eastAsia="黑体" w:hAnsi="黑体"/>
          <w:color w:val="000000"/>
          <w:sz w:val="28"/>
          <w:szCs w:val="28"/>
        </w:rPr>
      </w:pPr>
      <w:r>
        <w:rPr>
          <w:rFonts w:ascii="黑体" w:eastAsia="黑体" w:hAnsi="黑体" w:hint="eastAsia"/>
          <w:sz w:val="28"/>
          <w:szCs w:val="28"/>
        </w:rPr>
        <w:t>表2：综合评价得分情况</w:t>
      </w:r>
      <w:r>
        <w:rPr>
          <w:rFonts w:ascii="黑体" w:eastAsia="黑体" w:hAnsi="黑体" w:hint="eastAsia"/>
          <w:color w:val="000000"/>
          <w:sz w:val="28"/>
          <w:szCs w:val="28"/>
        </w:rPr>
        <w:t>表</w:t>
      </w:r>
    </w:p>
    <w:tbl>
      <w:tblPr>
        <w:tblW w:w="5000" w:type="pct"/>
        <w:tblLook w:val="04A0"/>
      </w:tblPr>
      <w:tblGrid>
        <w:gridCol w:w="2266"/>
        <w:gridCol w:w="2266"/>
        <w:gridCol w:w="2265"/>
        <w:gridCol w:w="2263"/>
      </w:tblGrid>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一级指标</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分值</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得分率</w:t>
            </w:r>
          </w:p>
        </w:tc>
      </w:tr>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决策</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color w:val="000000"/>
                <w:kern w:val="0"/>
                <w:sz w:val="20"/>
                <w:szCs w:val="20"/>
              </w:rPr>
              <w:t>9.</w:t>
            </w:r>
            <w:r>
              <w:rPr>
                <w:rFonts w:ascii="宋体" w:eastAsia="宋体" w:hAnsi="宋体" w:cs="宋体" w:hint="eastAsia"/>
                <w:color w:val="000000"/>
                <w:kern w:val="0"/>
                <w:sz w:val="20"/>
                <w:szCs w:val="20"/>
              </w:rPr>
              <w:t>1</w:t>
            </w:r>
            <w:r>
              <w:rPr>
                <w:rFonts w:ascii="宋体" w:eastAsia="宋体" w:hAnsi="宋体" w:cs="宋体"/>
                <w:color w:val="000000"/>
                <w:kern w:val="0"/>
                <w:sz w:val="20"/>
                <w:szCs w:val="20"/>
              </w:rPr>
              <w:t>0</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91.</w:t>
            </w:r>
            <w:r>
              <w:rPr>
                <w:rFonts w:ascii="宋体" w:eastAsia="宋体" w:hAnsi="宋体" w:cs="宋体"/>
                <w:color w:val="000000"/>
                <w:kern w:val="0"/>
                <w:sz w:val="20"/>
                <w:szCs w:val="20"/>
              </w:rPr>
              <w:t>0</w:t>
            </w:r>
            <w:r>
              <w:rPr>
                <w:rFonts w:ascii="宋体" w:eastAsia="宋体" w:hAnsi="宋体" w:cs="宋体" w:hint="eastAsia"/>
                <w:color w:val="000000"/>
                <w:kern w:val="0"/>
                <w:sz w:val="20"/>
                <w:szCs w:val="20"/>
              </w:rPr>
              <w:t>0%</w:t>
            </w:r>
          </w:p>
        </w:tc>
      </w:tr>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过程</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r>
              <w:rPr>
                <w:rFonts w:ascii="宋体" w:eastAsia="宋体" w:hAnsi="宋体" w:cs="宋体"/>
                <w:color w:val="000000"/>
                <w:kern w:val="0"/>
                <w:sz w:val="20"/>
                <w:szCs w:val="20"/>
              </w:rPr>
              <w:t>8.</w:t>
            </w:r>
            <w:r>
              <w:rPr>
                <w:rFonts w:ascii="宋体" w:eastAsia="宋体" w:hAnsi="宋体" w:cs="宋体" w:hint="eastAsia"/>
                <w:color w:val="000000"/>
                <w:kern w:val="0"/>
                <w:sz w:val="20"/>
                <w:szCs w:val="20"/>
              </w:rPr>
              <w:t>00</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color w:val="000000"/>
                <w:kern w:val="0"/>
                <w:sz w:val="20"/>
                <w:szCs w:val="20"/>
              </w:rPr>
              <w:t>90.</w:t>
            </w:r>
            <w:r>
              <w:rPr>
                <w:rFonts w:ascii="宋体" w:eastAsia="宋体" w:hAnsi="宋体" w:cs="宋体" w:hint="eastAsia"/>
                <w:color w:val="000000"/>
                <w:kern w:val="0"/>
                <w:sz w:val="20"/>
                <w:szCs w:val="20"/>
              </w:rPr>
              <w:t>00%</w:t>
            </w:r>
          </w:p>
        </w:tc>
      </w:tr>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34.00</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85.00%</w:t>
            </w:r>
          </w:p>
        </w:tc>
      </w:tr>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效益</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30</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24.67</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color w:val="000000"/>
                <w:kern w:val="0"/>
                <w:sz w:val="20"/>
                <w:szCs w:val="20"/>
              </w:rPr>
              <w:t>8</w:t>
            </w:r>
            <w:r>
              <w:rPr>
                <w:rFonts w:ascii="宋体" w:eastAsia="宋体" w:hAnsi="宋体" w:cs="宋体" w:hint="eastAsia"/>
                <w:color w:val="000000"/>
                <w:kern w:val="0"/>
                <w:sz w:val="20"/>
                <w:szCs w:val="20"/>
              </w:rPr>
              <w:t>2</w:t>
            </w:r>
            <w:r>
              <w:rPr>
                <w:rFonts w:ascii="宋体" w:eastAsia="宋体" w:hAnsi="宋体" w:cs="宋体"/>
                <w:color w:val="000000"/>
                <w:kern w:val="0"/>
                <w:sz w:val="20"/>
                <w:szCs w:val="20"/>
              </w:rPr>
              <w:t>.</w:t>
            </w:r>
            <w:r>
              <w:rPr>
                <w:rFonts w:ascii="宋体" w:eastAsia="宋体" w:hAnsi="宋体" w:cs="宋体" w:hint="eastAsia"/>
                <w:color w:val="000000"/>
                <w:kern w:val="0"/>
                <w:sz w:val="20"/>
                <w:szCs w:val="20"/>
              </w:rPr>
              <w:t>2</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w:t>
            </w:r>
          </w:p>
        </w:tc>
      </w:tr>
      <w:tr w:rsidR="00E46CD6">
        <w:trPr>
          <w:trHeight w:val="397"/>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100</w:t>
            </w:r>
          </w:p>
        </w:tc>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85.77</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85.77</w:t>
            </w:r>
            <w:r>
              <w:rPr>
                <w:rFonts w:ascii="宋体" w:eastAsia="宋体" w:hAnsi="宋体" w:cs="宋体"/>
                <w:b/>
                <w:bCs/>
                <w:color w:val="000000"/>
                <w:kern w:val="0"/>
                <w:sz w:val="20"/>
                <w:szCs w:val="20"/>
              </w:rPr>
              <w:t>%</w:t>
            </w:r>
          </w:p>
        </w:tc>
      </w:tr>
    </w:tbl>
    <w:p w:rsidR="00E46CD6" w:rsidRDefault="00E46CD6">
      <w:pPr>
        <w:ind w:firstLine="400"/>
        <w:rPr>
          <w:rFonts w:ascii="黑体" w:eastAsia="黑体"/>
          <w:sz w:val="20"/>
          <w:szCs w:val="20"/>
          <w:highlight w:val="yellow"/>
        </w:rPr>
      </w:pPr>
      <w:bookmarkStart w:id="43" w:name="_Toc35588409"/>
      <w:bookmarkStart w:id="44" w:name="_Toc73095377"/>
      <w:bookmarkEnd w:id="7"/>
    </w:p>
    <w:p w:rsidR="00E46CD6" w:rsidRDefault="002336CD">
      <w:pPr>
        <w:ind w:firstLine="640"/>
        <w:outlineLvl w:val="0"/>
        <w:rPr>
          <w:rFonts w:ascii="黑体" w:eastAsia="黑体"/>
          <w:szCs w:val="32"/>
        </w:rPr>
      </w:pPr>
      <w:bookmarkStart w:id="45" w:name="_Toc17964"/>
      <w:r>
        <w:rPr>
          <w:rFonts w:ascii="黑体" w:eastAsia="黑体" w:hint="eastAsia"/>
          <w:szCs w:val="32"/>
        </w:rPr>
        <w:t>四、绩效评价指标分析</w:t>
      </w:r>
      <w:bookmarkEnd w:id="43"/>
      <w:bookmarkEnd w:id="44"/>
      <w:bookmarkEnd w:id="45"/>
    </w:p>
    <w:p w:rsidR="00E46CD6" w:rsidRDefault="002336CD">
      <w:pPr>
        <w:ind w:firstLine="640"/>
        <w:outlineLvl w:val="1"/>
        <w:rPr>
          <w:rFonts w:ascii="楷体_GB2312" w:eastAsia="楷体_GB2312"/>
          <w:color w:val="000000"/>
          <w:szCs w:val="32"/>
        </w:rPr>
      </w:pPr>
      <w:bookmarkStart w:id="46" w:name="_Toc73095378"/>
      <w:bookmarkStart w:id="47" w:name="_Toc12942"/>
      <w:bookmarkStart w:id="48" w:name="_Toc35588410"/>
      <w:r>
        <w:rPr>
          <w:rFonts w:ascii="楷体_GB2312" w:eastAsia="楷体_GB2312" w:hint="eastAsia"/>
          <w:color w:val="000000"/>
          <w:szCs w:val="32"/>
        </w:rPr>
        <w:t>（一）项目决策情况</w:t>
      </w:r>
      <w:bookmarkEnd w:id="46"/>
      <w:bookmarkEnd w:id="47"/>
      <w:bookmarkEnd w:id="48"/>
    </w:p>
    <w:p w:rsidR="00E46CD6" w:rsidRDefault="002336CD">
      <w:pPr>
        <w:pStyle w:val="ab"/>
      </w:pPr>
      <w:r>
        <w:rPr>
          <w:rFonts w:hAnsi="仿宋" w:hint="eastAsia"/>
          <w:iCs/>
        </w:rPr>
        <w:t>从项目决策情况来看，项目立项属于部门职责范围和公共财政支持范围，且与相关部门同类项目或部门内部相关项目间无重复；项目立项经过了部门内部决策和预算申报程序，立项程序较为规范；</w:t>
      </w:r>
      <w:r>
        <w:rPr>
          <w:rFonts w:hint="eastAsia"/>
        </w:rPr>
        <w:t>项目年度绩效目标与其实际开展的工作内容相关性较强，预期效益较为明确，符合计划产出水平，与计划投入资金量匹配度较好；项目依据年度绩效目标细化分解了具体的绩效指标，绩效指标设置较为全面；预算内容与项目内容基本匹配，预算编制过程较为规范；项目资金全部用于修缮改造工程支出，不涉及在各项任务进行资金分配</w:t>
      </w:r>
      <w:r>
        <w:rPr>
          <w:rFonts w:hAnsi="仿宋" w:hint="eastAsia"/>
          <w:iCs/>
        </w:rPr>
        <w:t>。但是，</w:t>
      </w:r>
      <w:r>
        <w:rPr>
          <w:rFonts w:hint="eastAsia"/>
        </w:rPr>
        <w:t>项目前期需求论证调研分析不足，对于存在的安全隐患情况，调查分析等不够明确，项目前期需求调研及论证分析工作有待加强；项目绩效指标细化、量化程度有待提升</w:t>
      </w:r>
      <w:r>
        <w:rPr>
          <w:rFonts w:hAnsi="仿宋" w:hint="eastAsia"/>
          <w:iCs/>
        </w:rPr>
        <w:t>；预算测算未对项目技术方案的可行性以及费用的经济性进行综合论证，预算编制标准不明晰，存在预算依据不充分的问题。综上所述，项目决策指标分值</w:t>
      </w:r>
      <w:r>
        <w:rPr>
          <w:rFonts w:hAnsi="仿宋"/>
          <w:iCs/>
        </w:rPr>
        <w:t>10.00</w:t>
      </w:r>
      <w:r>
        <w:rPr>
          <w:rFonts w:hAnsi="仿宋" w:hint="eastAsia"/>
          <w:iCs/>
        </w:rPr>
        <w:t>分，得分9.1</w:t>
      </w:r>
      <w:r>
        <w:rPr>
          <w:rFonts w:hAnsi="仿宋"/>
          <w:iCs/>
        </w:rPr>
        <w:t>0</w:t>
      </w:r>
      <w:r>
        <w:rPr>
          <w:rFonts w:hAnsi="仿宋" w:hint="eastAsia"/>
          <w:iCs/>
        </w:rPr>
        <w:t>分，得分率为91</w:t>
      </w:r>
      <w:r>
        <w:rPr>
          <w:rFonts w:hAnsi="仿宋"/>
          <w:iCs/>
        </w:rPr>
        <w:t>.00%</w:t>
      </w:r>
      <w:r>
        <w:rPr>
          <w:rFonts w:hAnsi="仿宋" w:hint="eastAsia"/>
          <w:iCs/>
        </w:rPr>
        <w:t>（</w:t>
      </w:r>
      <w:r>
        <w:rPr>
          <w:rFonts w:hAnsi="仿宋" w:cs="Arial" w:hint="eastAsia"/>
          <w:bCs/>
          <w:iCs/>
          <w:kern w:val="0"/>
        </w:rPr>
        <w:t>见表3</w:t>
      </w:r>
      <w:r>
        <w:rPr>
          <w:rFonts w:hAnsi="仿宋" w:hint="eastAsia"/>
          <w:iCs/>
        </w:rPr>
        <w:t>）。</w:t>
      </w:r>
    </w:p>
    <w:p w:rsidR="00E46CD6" w:rsidRDefault="002336CD">
      <w:pPr>
        <w:ind w:firstLineChars="0" w:firstLine="0"/>
        <w:jc w:val="center"/>
        <w:rPr>
          <w:rFonts w:ascii="黑体" w:eastAsia="黑体" w:hAnsi="黑体"/>
          <w:color w:val="000000"/>
          <w:sz w:val="28"/>
          <w:szCs w:val="28"/>
        </w:rPr>
      </w:pPr>
      <w:r>
        <w:rPr>
          <w:rFonts w:ascii="黑体" w:eastAsia="黑体" w:hAnsi="黑体" w:hint="eastAsia"/>
          <w:sz w:val="28"/>
          <w:szCs w:val="28"/>
        </w:rPr>
        <w:t>表3：决策指标</w:t>
      </w:r>
      <w:r>
        <w:rPr>
          <w:rFonts w:ascii="黑体" w:eastAsia="黑体" w:hAnsi="黑体" w:hint="eastAsia"/>
          <w:color w:val="000000"/>
          <w:sz w:val="28"/>
          <w:szCs w:val="28"/>
        </w:rPr>
        <w:t>设定及评分情况表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056"/>
        <w:gridCol w:w="1613"/>
        <w:gridCol w:w="2661"/>
        <w:gridCol w:w="974"/>
        <w:gridCol w:w="1127"/>
        <w:gridCol w:w="1469"/>
      </w:tblGrid>
      <w:tr w:rsidR="00E46CD6">
        <w:trPr>
          <w:trHeight w:val="397"/>
          <w:tblHeader/>
          <w:jc w:val="center"/>
        </w:trPr>
        <w:tc>
          <w:tcPr>
            <w:tcW w:w="594"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一级指标</w:t>
            </w:r>
          </w:p>
        </w:tc>
        <w:tc>
          <w:tcPr>
            <w:tcW w:w="906"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二级指标</w:t>
            </w:r>
          </w:p>
        </w:tc>
        <w:tc>
          <w:tcPr>
            <w:tcW w:w="1495"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三级指标</w:t>
            </w:r>
          </w:p>
        </w:tc>
        <w:tc>
          <w:tcPr>
            <w:tcW w:w="547"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分值</w:t>
            </w:r>
          </w:p>
        </w:tc>
        <w:tc>
          <w:tcPr>
            <w:tcW w:w="633"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得分</w:t>
            </w:r>
          </w:p>
        </w:tc>
        <w:tc>
          <w:tcPr>
            <w:tcW w:w="825" w:type="pct"/>
            <w:vAlign w:val="center"/>
          </w:tcPr>
          <w:p w:rsidR="00E46CD6" w:rsidRDefault="002336CD">
            <w:pPr>
              <w:widowControl/>
              <w:spacing w:line="240" w:lineRule="auto"/>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得分率</w:t>
            </w:r>
          </w:p>
        </w:tc>
      </w:tr>
      <w:tr w:rsidR="00E46CD6">
        <w:trPr>
          <w:trHeight w:val="397"/>
          <w:jc w:val="center"/>
        </w:trPr>
        <w:tc>
          <w:tcPr>
            <w:tcW w:w="594" w:type="pct"/>
            <w:vMerge w:val="restar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决策</w:t>
            </w:r>
          </w:p>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（1</w:t>
            </w:r>
            <w:r>
              <w:rPr>
                <w:rFonts w:ascii="宋体" w:eastAsia="宋体" w:hAnsi="宋体" w:cs="宋体"/>
                <w:kern w:val="0"/>
                <w:sz w:val="20"/>
                <w:szCs w:val="20"/>
              </w:rPr>
              <w:t>0</w:t>
            </w:r>
            <w:r>
              <w:rPr>
                <w:rFonts w:ascii="宋体" w:eastAsia="宋体" w:hAnsi="宋体" w:cs="宋体" w:hint="eastAsia"/>
                <w:kern w:val="0"/>
                <w:sz w:val="20"/>
                <w:szCs w:val="20"/>
              </w:rPr>
              <w:t>分）</w:t>
            </w:r>
          </w:p>
        </w:tc>
        <w:tc>
          <w:tcPr>
            <w:tcW w:w="906" w:type="pct"/>
            <w:vMerge w:val="restar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项目立项</w:t>
            </w: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立项依据充分性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2</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hint="eastAsia"/>
                <w:sz w:val="20"/>
                <w:szCs w:val="20"/>
              </w:rPr>
              <w:t>2.00</w:t>
            </w:r>
          </w:p>
        </w:tc>
        <w:tc>
          <w:tcPr>
            <w:tcW w:w="825"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hint="eastAsia"/>
                <w:sz w:val="20"/>
                <w:szCs w:val="20"/>
              </w:rPr>
              <w:t>100</w:t>
            </w:r>
            <w:r>
              <w:rPr>
                <w:rFonts w:ascii="宋体" w:eastAsia="宋体" w:hAnsi="宋体"/>
                <w:sz w:val="20"/>
                <w:szCs w:val="20"/>
              </w:rPr>
              <w:t>.00%</w:t>
            </w:r>
          </w:p>
        </w:tc>
      </w:tr>
      <w:tr w:rsidR="00E46CD6">
        <w:trPr>
          <w:trHeight w:val="397"/>
          <w:jc w:val="center"/>
        </w:trPr>
        <w:tc>
          <w:tcPr>
            <w:tcW w:w="594"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906"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立项程序规范性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1</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sz w:val="20"/>
                <w:szCs w:val="20"/>
              </w:rPr>
              <w:t>0.7</w:t>
            </w:r>
            <w:r>
              <w:rPr>
                <w:rFonts w:ascii="宋体" w:eastAsia="宋体" w:hAnsi="宋体" w:hint="eastAsia"/>
                <w:sz w:val="20"/>
                <w:szCs w:val="20"/>
              </w:rPr>
              <w:t>7</w:t>
            </w:r>
          </w:p>
        </w:tc>
        <w:tc>
          <w:tcPr>
            <w:tcW w:w="82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sz w:val="20"/>
                <w:szCs w:val="20"/>
              </w:rPr>
              <w:t>7</w:t>
            </w:r>
            <w:r>
              <w:rPr>
                <w:rFonts w:ascii="宋体" w:eastAsia="宋体" w:hAnsi="宋体" w:hint="eastAsia"/>
                <w:sz w:val="20"/>
                <w:szCs w:val="20"/>
              </w:rPr>
              <w:t>7</w:t>
            </w:r>
            <w:r>
              <w:rPr>
                <w:rFonts w:ascii="宋体" w:eastAsia="宋体" w:hAnsi="宋体"/>
                <w:sz w:val="20"/>
                <w:szCs w:val="20"/>
              </w:rPr>
              <w:t>.00%</w:t>
            </w:r>
          </w:p>
        </w:tc>
      </w:tr>
      <w:tr w:rsidR="00E46CD6">
        <w:trPr>
          <w:trHeight w:val="397"/>
          <w:jc w:val="center"/>
        </w:trPr>
        <w:tc>
          <w:tcPr>
            <w:tcW w:w="594"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906" w:type="pct"/>
            <w:vMerge w:val="restar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绩效目标</w:t>
            </w: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绩效目标合理性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2</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sz w:val="20"/>
                <w:szCs w:val="20"/>
              </w:rPr>
              <w:t>2.00</w:t>
            </w:r>
          </w:p>
        </w:tc>
        <w:tc>
          <w:tcPr>
            <w:tcW w:w="82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sz w:val="20"/>
                <w:szCs w:val="20"/>
              </w:rPr>
              <w:t>100.00%</w:t>
            </w:r>
          </w:p>
        </w:tc>
      </w:tr>
      <w:tr w:rsidR="00E46CD6">
        <w:trPr>
          <w:trHeight w:val="397"/>
          <w:jc w:val="center"/>
        </w:trPr>
        <w:tc>
          <w:tcPr>
            <w:tcW w:w="594"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906"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绩效指标明确性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2</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sz w:val="20"/>
                <w:szCs w:val="20"/>
              </w:rPr>
              <w:t>1.6</w:t>
            </w:r>
            <w:r>
              <w:rPr>
                <w:rFonts w:ascii="宋体" w:eastAsia="宋体" w:hAnsi="宋体" w:hint="eastAsia"/>
                <w:sz w:val="20"/>
                <w:szCs w:val="20"/>
              </w:rPr>
              <w:t>3</w:t>
            </w:r>
          </w:p>
        </w:tc>
        <w:tc>
          <w:tcPr>
            <w:tcW w:w="82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sz w:val="20"/>
                <w:szCs w:val="20"/>
              </w:rPr>
              <w:t>8</w:t>
            </w:r>
            <w:r>
              <w:rPr>
                <w:rFonts w:ascii="宋体" w:eastAsia="宋体" w:hAnsi="宋体" w:hint="eastAsia"/>
                <w:sz w:val="20"/>
                <w:szCs w:val="20"/>
              </w:rPr>
              <w:t>1</w:t>
            </w:r>
            <w:r>
              <w:rPr>
                <w:rFonts w:ascii="宋体" w:eastAsia="宋体" w:hAnsi="宋体"/>
                <w:sz w:val="20"/>
                <w:szCs w:val="20"/>
              </w:rPr>
              <w:t>.</w:t>
            </w:r>
            <w:r>
              <w:rPr>
                <w:rFonts w:ascii="宋体" w:eastAsia="宋体" w:hAnsi="宋体" w:hint="eastAsia"/>
                <w:sz w:val="20"/>
                <w:szCs w:val="20"/>
              </w:rPr>
              <w:t>5</w:t>
            </w:r>
            <w:r>
              <w:rPr>
                <w:rFonts w:ascii="宋体" w:eastAsia="宋体" w:hAnsi="宋体"/>
                <w:sz w:val="20"/>
                <w:szCs w:val="20"/>
              </w:rPr>
              <w:t>0%</w:t>
            </w:r>
          </w:p>
        </w:tc>
      </w:tr>
      <w:tr w:rsidR="00E46CD6">
        <w:trPr>
          <w:trHeight w:val="397"/>
          <w:jc w:val="center"/>
        </w:trPr>
        <w:tc>
          <w:tcPr>
            <w:tcW w:w="594"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906" w:type="pct"/>
            <w:vMerge w:val="restar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资金投入</w:t>
            </w: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预算编制科学性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2</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sz w:val="20"/>
                <w:szCs w:val="20"/>
              </w:rPr>
              <w:t>1.</w:t>
            </w:r>
            <w:r>
              <w:rPr>
                <w:rFonts w:ascii="宋体" w:eastAsia="宋体" w:hAnsi="宋体" w:hint="eastAsia"/>
                <w:sz w:val="20"/>
                <w:szCs w:val="20"/>
              </w:rPr>
              <w:t>70</w:t>
            </w:r>
          </w:p>
        </w:tc>
        <w:tc>
          <w:tcPr>
            <w:tcW w:w="82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sz w:val="20"/>
                <w:szCs w:val="20"/>
              </w:rPr>
              <w:t>8</w:t>
            </w:r>
            <w:r>
              <w:rPr>
                <w:rFonts w:ascii="宋体" w:eastAsia="宋体" w:hAnsi="宋体" w:hint="eastAsia"/>
                <w:sz w:val="20"/>
                <w:szCs w:val="20"/>
              </w:rPr>
              <w:t>5</w:t>
            </w:r>
            <w:r>
              <w:rPr>
                <w:rFonts w:ascii="宋体" w:eastAsia="宋体" w:hAnsi="宋体"/>
                <w:sz w:val="20"/>
                <w:szCs w:val="20"/>
              </w:rPr>
              <w:t>.00%</w:t>
            </w:r>
          </w:p>
        </w:tc>
      </w:tr>
      <w:tr w:rsidR="00E46CD6">
        <w:trPr>
          <w:trHeight w:val="397"/>
          <w:jc w:val="center"/>
        </w:trPr>
        <w:tc>
          <w:tcPr>
            <w:tcW w:w="594"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906" w:type="pct"/>
            <w:vMerge/>
            <w:vAlign w:val="center"/>
          </w:tcPr>
          <w:p w:rsidR="00E46CD6" w:rsidRDefault="00E46CD6">
            <w:pPr>
              <w:widowControl/>
              <w:spacing w:line="240" w:lineRule="auto"/>
              <w:ind w:firstLineChars="0" w:firstLine="0"/>
              <w:jc w:val="center"/>
              <w:rPr>
                <w:rFonts w:ascii="宋体" w:eastAsia="宋体" w:hAnsi="宋体" w:cs="宋体"/>
                <w:kern w:val="0"/>
                <w:sz w:val="20"/>
                <w:szCs w:val="20"/>
              </w:rPr>
            </w:pPr>
          </w:p>
        </w:tc>
        <w:tc>
          <w:tcPr>
            <w:tcW w:w="1495"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cs="宋体" w:hint="eastAsia"/>
                <w:kern w:val="0"/>
                <w:sz w:val="20"/>
                <w:szCs w:val="20"/>
              </w:rPr>
              <w:t>资金分配合理性</w:t>
            </w:r>
          </w:p>
        </w:tc>
        <w:tc>
          <w:tcPr>
            <w:tcW w:w="547" w:type="pct"/>
            <w:vAlign w:val="center"/>
          </w:tcPr>
          <w:p w:rsidR="00E46CD6" w:rsidRDefault="002336CD">
            <w:pPr>
              <w:widowControl/>
              <w:spacing w:line="240" w:lineRule="auto"/>
              <w:ind w:firstLineChars="0" w:firstLine="0"/>
              <w:jc w:val="center"/>
              <w:rPr>
                <w:rFonts w:ascii="宋体" w:eastAsia="宋体" w:hAnsi="宋体" w:cs="宋体"/>
                <w:kern w:val="0"/>
                <w:sz w:val="20"/>
                <w:szCs w:val="20"/>
              </w:rPr>
            </w:pPr>
            <w:r>
              <w:rPr>
                <w:rFonts w:ascii="宋体" w:eastAsia="宋体" w:hAnsi="宋体" w:hint="eastAsia"/>
                <w:color w:val="000000"/>
                <w:sz w:val="20"/>
                <w:szCs w:val="20"/>
              </w:rPr>
              <w:t>1</w:t>
            </w:r>
          </w:p>
        </w:tc>
        <w:tc>
          <w:tcPr>
            <w:tcW w:w="633" w:type="pct"/>
            <w:vAlign w:val="center"/>
          </w:tcPr>
          <w:p w:rsidR="00E46CD6" w:rsidRDefault="002336CD">
            <w:pPr>
              <w:widowControl/>
              <w:spacing w:line="240" w:lineRule="auto"/>
              <w:ind w:firstLineChars="0" w:firstLine="0"/>
              <w:jc w:val="center"/>
              <w:rPr>
                <w:rFonts w:ascii="宋体" w:eastAsia="宋体" w:hAnsi="宋体"/>
                <w:color w:val="000000"/>
                <w:sz w:val="20"/>
                <w:szCs w:val="20"/>
              </w:rPr>
            </w:pPr>
            <w:r>
              <w:rPr>
                <w:rFonts w:ascii="宋体" w:eastAsia="宋体" w:hAnsi="宋体"/>
                <w:sz w:val="20"/>
                <w:szCs w:val="20"/>
              </w:rPr>
              <w:t>1.00</w:t>
            </w:r>
          </w:p>
        </w:tc>
        <w:tc>
          <w:tcPr>
            <w:tcW w:w="82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sz w:val="20"/>
                <w:szCs w:val="20"/>
              </w:rPr>
              <w:t>100.00%</w:t>
            </w:r>
          </w:p>
        </w:tc>
      </w:tr>
      <w:tr w:rsidR="00E46CD6">
        <w:trPr>
          <w:trHeight w:val="397"/>
          <w:jc w:val="center"/>
        </w:trPr>
        <w:tc>
          <w:tcPr>
            <w:tcW w:w="2995" w:type="pct"/>
            <w:gridSpan w:val="3"/>
            <w:vAlign w:val="center"/>
          </w:tcPr>
          <w:p w:rsidR="00E46CD6" w:rsidRDefault="002336CD">
            <w:pPr>
              <w:widowControl/>
              <w:spacing w:line="240" w:lineRule="auto"/>
              <w:ind w:firstLineChars="0" w:firstLine="0"/>
              <w:jc w:val="center"/>
              <w:rPr>
                <w:rFonts w:ascii="宋体" w:eastAsia="宋体" w:hAnsi="宋体" w:cs="宋体"/>
                <w:b/>
                <w:bCs/>
                <w:kern w:val="0"/>
                <w:sz w:val="20"/>
                <w:szCs w:val="20"/>
              </w:rPr>
            </w:pPr>
            <w:r>
              <w:rPr>
                <w:rFonts w:ascii="宋体" w:eastAsia="宋体" w:hAnsi="宋体" w:cs="宋体" w:hint="eastAsia"/>
                <w:b/>
                <w:bCs/>
                <w:kern w:val="0"/>
                <w:sz w:val="20"/>
                <w:szCs w:val="20"/>
              </w:rPr>
              <w:t>合计</w:t>
            </w:r>
          </w:p>
        </w:tc>
        <w:tc>
          <w:tcPr>
            <w:tcW w:w="547" w:type="pct"/>
            <w:vAlign w:val="center"/>
          </w:tcPr>
          <w:p w:rsidR="00E46CD6" w:rsidRDefault="002336CD">
            <w:pPr>
              <w:widowControl/>
              <w:spacing w:line="240" w:lineRule="auto"/>
              <w:ind w:firstLineChars="0" w:firstLine="0"/>
              <w:jc w:val="center"/>
              <w:rPr>
                <w:rFonts w:ascii="宋体" w:eastAsia="宋体" w:hAnsi="宋体"/>
                <w:b/>
                <w:bCs/>
                <w:color w:val="000000"/>
                <w:kern w:val="0"/>
                <w:sz w:val="20"/>
                <w:szCs w:val="20"/>
              </w:rPr>
            </w:pPr>
            <w:r>
              <w:rPr>
                <w:rFonts w:ascii="宋体" w:eastAsia="宋体" w:hAnsi="宋体" w:hint="eastAsia"/>
                <w:b/>
                <w:bCs/>
                <w:color w:val="000000"/>
                <w:sz w:val="20"/>
                <w:szCs w:val="20"/>
              </w:rPr>
              <w:t>10</w:t>
            </w:r>
          </w:p>
        </w:tc>
        <w:tc>
          <w:tcPr>
            <w:tcW w:w="633" w:type="pct"/>
            <w:vAlign w:val="center"/>
          </w:tcPr>
          <w:p w:rsidR="00E46CD6" w:rsidRDefault="002336CD">
            <w:pPr>
              <w:spacing w:line="240" w:lineRule="auto"/>
              <w:ind w:firstLineChars="0" w:firstLine="0"/>
              <w:jc w:val="center"/>
              <w:rPr>
                <w:rFonts w:ascii="宋体" w:eastAsia="宋体" w:hAnsi="宋体"/>
                <w:b/>
                <w:bCs/>
                <w:color w:val="000000"/>
                <w:sz w:val="20"/>
                <w:szCs w:val="20"/>
              </w:rPr>
            </w:pPr>
            <w:r>
              <w:rPr>
                <w:rFonts w:ascii="宋体" w:eastAsia="宋体" w:hAnsi="宋体" w:hint="eastAsia"/>
                <w:b/>
                <w:bCs/>
                <w:color w:val="000000"/>
                <w:sz w:val="20"/>
                <w:szCs w:val="20"/>
              </w:rPr>
              <w:t>9.10</w:t>
            </w:r>
          </w:p>
        </w:tc>
        <w:tc>
          <w:tcPr>
            <w:tcW w:w="825" w:type="pct"/>
            <w:vAlign w:val="center"/>
          </w:tcPr>
          <w:p w:rsidR="00E46CD6" w:rsidRDefault="002336CD">
            <w:pPr>
              <w:spacing w:line="240" w:lineRule="auto"/>
              <w:ind w:firstLineChars="0" w:firstLine="0"/>
              <w:jc w:val="center"/>
              <w:rPr>
                <w:rFonts w:ascii="宋体" w:eastAsia="宋体" w:hAnsi="宋体"/>
                <w:b/>
                <w:bCs/>
                <w:color w:val="000000"/>
                <w:sz w:val="20"/>
                <w:szCs w:val="20"/>
              </w:rPr>
            </w:pPr>
            <w:r>
              <w:rPr>
                <w:rFonts w:ascii="宋体" w:eastAsia="宋体" w:hAnsi="宋体" w:hint="eastAsia"/>
                <w:b/>
                <w:bCs/>
                <w:color w:val="000000"/>
                <w:sz w:val="20"/>
                <w:szCs w:val="20"/>
              </w:rPr>
              <w:t>91</w:t>
            </w:r>
            <w:r>
              <w:rPr>
                <w:rFonts w:ascii="宋体" w:eastAsia="宋体" w:hAnsi="宋体"/>
                <w:b/>
                <w:bCs/>
                <w:color w:val="000000"/>
                <w:sz w:val="20"/>
                <w:szCs w:val="20"/>
              </w:rPr>
              <w:t>.00%</w:t>
            </w:r>
          </w:p>
        </w:tc>
      </w:tr>
    </w:tbl>
    <w:p w:rsidR="00E46CD6" w:rsidRDefault="00E46CD6">
      <w:pPr>
        <w:ind w:firstLineChars="0" w:firstLine="0"/>
        <w:jc w:val="left"/>
        <w:rPr>
          <w:rFonts w:ascii="黑体" w:eastAsia="黑体" w:hAnsi="黑体"/>
          <w:color w:val="000000"/>
          <w:sz w:val="20"/>
          <w:szCs w:val="20"/>
        </w:rPr>
      </w:pPr>
    </w:p>
    <w:p w:rsidR="00E46CD6" w:rsidRDefault="002336CD">
      <w:pPr>
        <w:pStyle w:val="ab"/>
        <w:outlineLvl w:val="2"/>
        <w:rPr>
          <w:rFonts w:hAnsi="仿宋_GB2312" w:cs="仿宋_GB2312"/>
        </w:rPr>
      </w:pPr>
      <w:bookmarkStart w:id="49" w:name="_Toc73095380"/>
      <w:r>
        <w:rPr>
          <w:rFonts w:hAnsi="仿宋_GB2312" w:cs="仿宋_GB2312" w:hint="eastAsia"/>
        </w:rPr>
        <w:t>1.项目立项</w:t>
      </w:r>
    </w:p>
    <w:p w:rsidR="00E46CD6" w:rsidRDefault="002336CD">
      <w:pPr>
        <w:pStyle w:val="ab"/>
        <w:outlineLvl w:val="3"/>
        <w:rPr>
          <w:rFonts w:hAnsi="仿宋_GB2312" w:cs="仿宋_GB2312"/>
        </w:rPr>
      </w:pPr>
      <w:r>
        <w:rPr>
          <w:rFonts w:hAnsi="仿宋_GB2312" w:cs="仿宋_GB2312" w:hint="eastAsia"/>
        </w:rPr>
        <w:t>（1）立项依据充分性</w:t>
      </w:r>
    </w:p>
    <w:p w:rsidR="00E46CD6" w:rsidRDefault="002336CD">
      <w:pPr>
        <w:ind w:firstLine="640"/>
        <w:rPr>
          <w:rFonts w:ascii="仿宋_GB2312" w:hAnsi="仿宋_GB2312" w:cs="仿宋_GB2312"/>
        </w:rPr>
      </w:pPr>
      <w:r>
        <w:rPr>
          <w:rFonts w:ascii="仿宋_GB2312" w:hAnsi="仿宋_GB2312" w:cs="仿宋_GB2312" w:hint="eastAsia"/>
        </w:rPr>
        <w:t>项目主要内容为对台基厂大街2号院室外路面1800平方米和室内房间3700平方米设备设施进行装修和改造，与台基厂大街办公区管理处“承担区域内相关重要政务活动场所、老干部活动场所和中央移交院落的运行保障工作”的职责职能相符，属于部门履职所需。项目开展与市机关事务管理中心制定的</w:t>
      </w:r>
      <w:r>
        <w:rPr>
          <w:rFonts w:ascii="仿宋_GB2312" w:hAnsi="仿宋_GB2312" w:cs="仿宋_GB2312" w:hint="eastAsia"/>
          <w:color w:val="000000"/>
          <w:kern w:val="0"/>
          <w:szCs w:val="32"/>
        </w:rPr>
        <w:t>《管理中心2023年重点工作安排》</w:t>
      </w:r>
      <w:r>
        <w:rPr>
          <w:rFonts w:ascii="仿宋_GB2312" w:hAnsi="仿宋_GB2312" w:cs="仿宋_GB2312" w:hint="eastAsia"/>
        </w:rPr>
        <w:t>中“加强安全管理力度”年度重点工作相一致。项目实施旨在保障台基厂大街办公区的生产安全、改善其办公环境，直接受益对象为入驻单位及台基厂大街2号院内工作人员，属于公共财政支持范围，不存在与相关部门同类项目或部门内部相关项目重复的情况。</w:t>
      </w:r>
    </w:p>
    <w:p w:rsidR="00E46CD6" w:rsidRDefault="002336CD">
      <w:pPr>
        <w:pStyle w:val="ab"/>
        <w:outlineLvl w:val="3"/>
        <w:rPr>
          <w:rFonts w:hAnsi="仿宋_GB2312" w:cs="仿宋_GB2312"/>
        </w:rPr>
      </w:pPr>
      <w:r>
        <w:rPr>
          <w:rFonts w:hAnsi="仿宋_GB2312" w:cs="仿宋_GB2312" w:hint="eastAsia"/>
        </w:rPr>
        <w:t>（2）立项程序规范性</w:t>
      </w:r>
    </w:p>
    <w:p w:rsidR="00E46CD6" w:rsidRDefault="002336CD">
      <w:pPr>
        <w:ind w:firstLine="640"/>
        <w:rPr>
          <w:rFonts w:ascii="仿宋_GB2312" w:hAnsi="仿宋_GB2312" w:cs="仿宋_GB2312"/>
          <w:szCs w:val="32"/>
        </w:rPr>
      </w:pPr>
      <w:r>
        <w:rPr>
          <w:rFonts w:ascii="仿宋_GB2312" w:hAnsi="仿宋_GB2312" w:cs="仿宋_GB2312" w:hint="eastAsia"/>
          <w:szCs w:val="32"/>
        </w:rPr>
        <w:t>项目经预算评审、内部集体决策等必要程序申请设立，由台基厂大街办公区管理处在调研、编制《</w:t>
      </w:r>
      <w:r>
        <w:rPr>
          <w:rFonts w:ascii="仿宋_GB2312" w:hAnsi="仿宋_GB2312" w:cs="仿宋_GB2312" w:hint="eastAsia"/>
        </w:rPr>
        <w:t>台基厂大街2号院修缮改造需求</w:t>
      </w:r>
      <w:r>
        <w:rPr>
          <w:rFonts w:ascii="仿宋_GB2312" w:hAnsi="仿宋_GB2312" w:cs="仿宋_GB2312" w:hint="eastAsia"/>
          <w:szCs w:val="32"/>
        </w:rPr>
        <w:t>》的基础上，结合部门职能及工作任务，编制项目申报文本、绩效目标申报表、项目支出计划等资料，经由上会汇报、预算审核定案通过后，上报至财政部并获得立项批复，经过了部门内部决策和预算申报程序，项目立项程序较为规范。</w:t>
      </w:r>
    </w:p>
    <w:p w:rsidR="00E46CD6" w:rsidRDefault="002336CD">
      <w:pPr>
        <w:ind w:firstLine="640"/>
        <w:rPr>
          <w:rFonts w:ascii="仿宋_GB2312" w:hAnsi="仿宋_GB2312" w:cs="仿宋_GB2312"/>
          <w:szCs w:val="32"/>
        </w:rPr>
      </w:pPr>
      <w:r>
        <w:rPr>
          <w:rFonts w:ascii="仿宋_GB2312" w:hAnsi="仿宋_GB2312" w:cs="仿宋_GB2312" w:hint="eastAsia"/>
          <w:szCs w:val="32"/>
        </w:rPr>
        <w:t>但项目前期需求论证调研分析不足，未进行可行性研究、专家论证、风险评估等必要的评估，缺乏房屋日常维护记录和必要的检测、鉴定、评估报告，办公用房基础信息不足，难以判断其损坏程度和修缮工作量的大小；且项目对于拟修缮办公楼安全隐患情况的调查分析等不够明确，项目前期需求调研及论证分析工作有待加强。</w:t>
      </w:r>
    </w:p>
    <w:p w:rsidR="00E46CD6" w:rsidRDefault="002336CD">
      <w:pPr>
        <w:pStyle w:val="ab"/>
        <w:outlineLvl w:val="2"/>
        <w:rPr>
          <w:rFonts w:hAnsi="仿宋_GB2312" w:cs="仿宋_GB2312"/>
        </w:rPr>
      </w:pPr>
      <w:r>
        <w:rPr>
          <w:rFonts w:hAnsi="仿宋_GB2312" w:cs="仿宋_GB2312" w:hint="eastAsia"/>
        </w:rPr>
        <w:t>2.绩效目标</w:t>
      </w:r>
      <w:bookmarkEnd w:id="49"/>
    </w:p>
    <w:p w:rsidR="00E46CD6" w:rsidRDefault="002336CD">
      <w:pPr>
        <w:pStyle w:val="ab"/>
        <w:outlineLvl w:val="3"/>
        <w:rPr>
          <w:rFonts w:hAnsi="仿宋_GB2312" w:cs="仿宋_GB2312"/>
        </w:rPr>
      </w:pPr>
      <w:r>
        <w:rPr>
          <w:rFonts w:hAnsi="仿宋_GB2312" w:cs="仿宋_GB2312" w:hint="eastAsia"/>
        </w:rPr>
        <w:t>（1）绩效目标合理性</w:t>
      </w:r>
    </w:p>
    <w:p w:rsidR="00E46CD6" w:rsidRDefault="002336CD">
      <w:pPr>
        <w:pStyle w:val="ab"/>
        <w:rPr>
          <w:rFonts w:hAnsi="仿宋_GB2312" w:cs="仿宋_GB2312"/>
        </w:rPr>
      </w:pPr>
      <w:r>
        <w:rPr>
          <w:rFonts w:hAnsi="仿宋_GB2312" w:cs="仿宋_GB2312" w:hint="eastAsia"/>
        </w:rPr>
        <w:t>项目年度绩效目标为“通过开展台基厂办公区2号院维修改造工作，消除各类安全隐患，各项指标操作性、稳定性、安全性增强，延长办公楼的使用期限，创造整洁舒适的办公环境”，与其实际开展的工作内容相关性较强，预期效益较为明确，符合计划产出水平，与计划投入资金量匹配度较好。</w:t>
      </w:r>
    </w:p>
    <w:p w:rsidR="00E46CD6" w:rsidRDefault="002336CD">
      <w:pPr>
        <w:pStyle w:val="ab"/>
        <w:outlineLvl w:val="3"/>
        <w:rPr>
          <w:rFonts w:hAnsi="仿宋_GB2312" w:cs="仿宋_GB2312"/>
        </w:rPr>
      </w:pPr>
      <w:r>
        <w:rPr>
          <w:rFonts w:hAnsi="仿宋_GB2312" w:cs="仿宋_GB2312" w:hint="eastAsia"/>
        </w:rPr>
        <w:t>（2）绩效指标明确性</w:t>
      </w:r>
    </w:p>
    <w:p w:rsidR="00E46CD6" w:rsidRDefault="002336CD">
      <w:pPr>
        <w:pStyle w:val="ab"/>
        <w:rPr>
          <w:rFonts w:hAnsi="仿宋_GB2312" w:cs="仿宋_GB2312"/>
        </w:rPr>
      </w:pPr>
      <w:r>
        <w:rPr>
          <w:rFonts w:hAnsi="仿宋_GB2312" w:cs="仿宋_GB2312" w:hint="eastAsia"/>
        </w:rPr>
        <w:t>项目依据年度绩效目标细化分解了具体的绩效指标，设置了数量、质量、时效、成本等5个产出指标，并围绕项目预计取得的效益各设置了1个可持续影响指标和满意度指标，绩效指标设置较为全面。但项目质量指标及可持续影响指标均为定性指标，指标可衡量性有待提升；且项目数量指标未针对项目计划任务数进行细化，未与改造需求中的“室外工程”“室内工程”相对应，项目绩效指标细化、量化程度有待提升。</w:t>
      </w:r>
    </w:p>
    <w:p w:rsidR="00E46CD6" w:rsidRDefault="002336CD">
      <w:pPr>
        <w:pStyle w:val="ab"/>
        <w:outlineLvl w:val="2"/>
        <w:rPr>
          <w:rFonts w:hAnsi="仿宋_GB2312" w:cs="仿宋_GB2312"/>
        </w:rPr>
      </w:pPr>
      <w:r>
        <w:rPr>
          <w:rFonts w:hAnsi="仿宋_GB2312" w:cs="仿宋_GB2312" w:hint="eastAsia"/>
        </w:rPr>
        <w:t>3.资金投入</w:t>
      </w:r>
    </w:p>
    <w:p w:rsidR="00E46CD6" w:rsidRDefault="002336CD">
      <w:pPr>
        <w:pStyle w:val="ab"/>
        <w:outlineLvl w:val="3"/>
        <w:rPr>
          <w:rFonts w:hAnsi="仿宋_GB2312" w:cs="仿宋_GB2312"/>
        </w:rPr>
      </w:pPr>
      <w:r>
        <w:rPr>
          <w:rFonts w:hAnsi="仿宋_GB2312" w:cs="仿宋_GB2312" w:hint="eastAsia"/>
        </w:rPr>
        <w:t>（1）预算编制科学性</w:t>
      </w:r>
    </w:p>
    <w:p w:rsidR="00E46CD6" w:rsidRDefault="002336CD">
      <w:pPr>
        <w:pStyle w:val="ab"/>
        <w:rPr>
          <w:rFonts w:hAnsi="仿宋_GB2312" w:cs="仿宋_GB2312"/>
        </w:rPr>
      </w:pPr>
      <w:bookmarkStart w:id="50" w:name="_Hlk8922265"/>
      <w:r>
        <w:rPr>
          <w:rFonts w:hAnsi="仿宋_GB2312" w:cs="仿宋_GB2312" w:hint="eastAsia"/>
        </w:rPr>
        <w:t>项目预算主要由分部分项工程、措施项目和税金构成，其中分部分项工程包括市政工程、装饰工程、电气安装工程和给排水安装工程。市政工程主要与计划内容的室外工程相对应，其他分项工程基本为室内工程，预算内容与项目内容基本匹配；项目预算结合实际需求，经过了“两上”“两下”的程序和必要的内部决策，项目年初预算审定金额为368.679989万元，较送审金额核减了2.06%，整体上项目预算编制过程较为规范。项目预算审核情况如下表4所示。</w:t>
      </w:r>
    </w:p>
    <w:p w:rsidR="00E46CD6" w:rsidRDefault="002336CD">
      <w:pPr>
        <w:ind w:firstLine="640"/>
        <w:rPr>
          <w:rFonts w:ascii="仿宋_GB2312" w:hAnsi="仿宋_GB2312" w:cs="仿宋_GB2312"/>
        </w:rPr>
      </w:pPr>
      <w:r>
        <w:rPr>
          <w:rFonts w:ascii="仿宋_GB2312" w:hAnsi="仿宋_GB2312" w:cs="仿宋_GB2312" w:hint="eastAsia"/>
        </w:rPr>
        <w:t>但是，项目未</w:t>
      </w:r>
      <w:r>
        <w:rPr>
          <w:rFonts w:ascii="仿宋_GB2312" w:hAnsi="仿宋_GB2312" w:cs="仿宋_GB2312" w:hint="eastAsia"/>
          <w:szCs w:val="32"/>
        </w:rPr>
        <w:t>对技术方案的可行性以及费用的经济性进行综合论证，预算测算</w:t>
      </w:r>
      <w:r>
        <w:rPr>
          <w:rFonts w:ascii="仿宋_GB2312" w:hAnsi="仿宋_GB2312" w:cs="仿宋_GB2312" w:hint="eastAsia"/>
        </w:rPr>
        <w:t>无前期设计文件依据，预算编制标准不明晰，存在预算测算依据不充分的问题。</w:t>
      </w:r>
    </w:p>
    <w:p w:rsidR="00E46CD6" w:rsidRDefault="002336CD">
      <w:pPr>
        <w:pStyle w:val="ab"/>
        <w:ind w:firstLineChars="0" w:firstLine="0"/>
        <w:jc w:val="center"/>
        <w:rPr>
          <w:rFonts w:ascii="黑体" w:eastAsia="黑体" w:hAnsi="黑体"/>
          <w:sz w:val="28"/>
          <w:szCs w:val="28"/>
        </w:rPr>
      </w:pPr>
      <w:r>
        <w:rPr>
          <w:rFonts w:ascii="黑体" w:eastAsia="黑体" w:hAnsi="黑体" w:hint="eastAsia"/>
          <w:sz w:val="28"/>
          <w:szCs w:val="28"/>
        </w:rPr>
        <w:t>表4：项目费用汇总预算审核定案表</w:t>
      </w:r>
    </w:p>
    <w:p w:rsidR="00E46CD6" w:rsidRDefault="002336CD">
      <w:pPr>
        <w:pStyle w:val="ab"/>
        <w:spacing w:line="240" w:lineRule="auto"/>
        <w:ind w:firstLineChars="0" w:firstLine="0"/>
        <w:jc w:val="right"/>
        <w:rPr>
          <w:rFonts w:ascii="宋体" w:eastAsia="宋体" w:hAnsi="宋体"/>
          <w:sz w:val="28"/>
          <w:szCs w:val="28"/>
        </w:rPr>
      </w:pPr>
      <w:r>
        <w:rPr>
          <w:rFonts w:ascii="宋体" w:eastAsia="宋体" w:hAnsi="宋体" w:hint="eastAsia"/>
          <w:sz w:val="20"/>
          <w:szCs w:val="20"/>
        </w:rPr>
        <w:t>单位：元</w:t>
      </w:r>
    </w:p>
    <w:tbl>
      <w:tblPr>
        <w:tblW w:w="5000" w:type="pct"/>
        <w:jc w:val="center"/>
        <w:tblLayout w:type="fixed"/>
        <w:tblCellMar>
          <w:left w:w="28" w:type="dxa"/>
          <w:right w:w="28" w:type="dxa"/>
        </w:tblCellMar>
        <w:tblLook w:val="04A0"/>
      </w:tblPr>
      <w:tblGrid>
        <w:gridCol w:w="830"/>
        <w:gridCol w:w="2366"/>
        <w:gridCol w:w="1557"/>
        <w:gridCol w:w="1557"/>
        <w:gridCol w:w="1558"/>
        <w:gridCol w:w="1032"/>
      </w:tblGrid>
      <w:tr w:rsidR="00E46CD6">
        <w:trPr>
          <w:trHeight w:val="397"/>
          <w:tblHeader/>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序号</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项目名称</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送审金额</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审定金额</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增减金额</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审减比例</w:t>
            </w:r>
          </w:p>
        </w:tc>
      </w:tr>
      <w:tr w:rsidR="00E46CD6">
        <w:trPr>
          <w:trHeight w:val="397"/>
          <w:jc w:val="center"/>
        </w:trPr>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工程造价合计</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3,764,470.90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3,686,799.89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-77,671.01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-2.06%</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分部分项工程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2,975,414.44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2,916,006.50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-59,407.94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-2.00%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市政工程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676,596.33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658,361.85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-18,234.48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-2.70%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道路工程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592,275.84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574,149.84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-18,126.00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-3.06%</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给、排水工程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84,320.49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84,212.01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-108.48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-0.13%</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装饰工程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2,083,952.73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2,043,204.16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-40,748.57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-1.96%</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地下一层车库</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432,964.48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421,749.86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-11,214.62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一层车库</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425,581.29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414,567.28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-11,014.01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二层走廊</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321,764.33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312,582.42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-9,181.91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-2.85%</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二层办公室</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157,342.87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156,958.93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-383.94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-0.24%</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二层会议室</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59,764.64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57,402.55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-2,362.09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-3.95%</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1.2.6</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二层天台</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231,065.61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231,065.61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0.00%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西侧楼梯</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33,204.43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32,479.11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-725.32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-2.18%</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1.2.8</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北侧楼梯</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45,074.27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43,944.55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-1,129.72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-2.51%</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1.2.9</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外墙</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272,799.12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272,799.12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1.2.10</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东北角门卫岗亭</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13,198.78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12,853.30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-345.48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-2.62%</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东南角门卫岗亭</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20,206.08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19,860.60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-345.48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-1.71%</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女卫变淋浴间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7,494.40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7,465.53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-28.87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-0.39%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男卫生间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40,095.78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39,689.82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-405.96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-1.01%</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茶水间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23,396.65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19,785.48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-3,611.17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-15.43%</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安装工程-电气工程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156,789.70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156,483.81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-305.89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地下一层车库</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31,556.56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31,465.30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-91.26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一层车库</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31,810.36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31,719.10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-91.26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二层走廊</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15,386.55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15,295.29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-91.26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-0.59%</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二层办公室</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28,511.32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28,511.32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二层会议室</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3,581.03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3,581.03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1.3.6</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西侧楼梯</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1,885.68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1,875.54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-10.14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-0.54%</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1.3.7</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北侧楼梯</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2,202.93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2,192.79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-10.14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-0.46%</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1.3.8</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茶水间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443.23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443.23 </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1.3.9</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外墙</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39,672.85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39,672.85 </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1.3.10</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女卫变淋浴间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305.42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303.73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-1.69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-0.55%</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1.3.11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男卫生间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1,433.77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1,423.63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-10.14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-0.71%</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安装工程-给排水工程</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58,075.68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57,956.68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-119.00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-0.20%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二层天台</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41,911.22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41,911.22 </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女卫变淋浴间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2,279.50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2,255.70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-23.80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-1.04%</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男卫生间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13,170.27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13,098.87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-71.40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-0.54%</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茶水间</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714.69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690.89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-23.80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-3.33%</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措施项目</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478,228.59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466,378.72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-11,849.87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-2.48%</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其中：安全文明施工费</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166,333.20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164,843.20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-1,490.00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-0.90%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其中：施工垃圾场外运输和消纳费</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14,572.81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8,860.86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-5,711.95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-39.20%</w:t>
            </w:r>
          </w:p>
        </w:tc>
      </w:tr>
      <w:tr w:rsidR="00E46CD6">
        <w:trPr>
          <w:trHeight w:val="397"/>
          <w:jc w:val="center"/>
        </w:trPr>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税金</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310,827.87 </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304,414.67 </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righ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-6,413.20 </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-2.06%</w:t>
            </w:r>
          </w:p>
        </w:tc>
      </w:tr>
    </w:tbl>
    <w:p w:rsidR="00E46CD6" w:rsidRDefault="00E46CD6">
      <w:pPr>
        <w:pStyle w:val="ab"/>
        <w:spacing w:line="240" w:lineRule="auto"/>
        <w:ind w:firstLineChars="0" w:firstLine="0"/>
        <w:rPr>
          <w:rFonts w:hAnsi="宋体"/>
          <w:sz w:val="20"/>
          <w:szCs w:val="20"/>
        </w:rPr>
      </w:pPr>
    </w:p>
    <w:bookmarkEnd w:id="50"/>
    <w:p w:rsidR="00E46CD6" w:rsidRDefault="002336CD">
      <w:pPr>
        <w:pStyle w:val="ab"/>
        <w:outlineLvl w:val="3"/>
      </w:pPr>
      <w:r>
        <w:rPr>
          <w:rFonts w:hint="eastAsia"/>
        </w:rPr>
        <w:t>（2）资金分配合理性</w:t>
      </w:r>
    </w:p>
    <w:p w:rsidR="00E46CD6" w:rsidRDefault="002336CD">
      <w:pPr>
        <w:pStyle w:val="ab"/>
      </w:pPr>
      <w:r>
        <w:rPr>
          <w:rFonts w:hint="eastAsia"/>
        </w:rPr>
        <w:t>项目资金全部用于修缮改造工程支出，不涉及在各项任务之间进行资金分配。</w:t>
      </w:r>
    </w:p>
    <w:p w:rsidR="00E46CD6" w:rsidRDefault="002336CD">
      <w:pPr>
        <w:ind w:firstLine="640"/>
        <w:outlineLvl w:val="1"/>
        <w:rPr>
          <w:rFonts w:ascii="楷体_GB2312" w:eastAsia="楷体_GB2312"/>
          <w:color w:val="000000"/>
          <w:szCs w:val="32"/>
        </w:rPr>
      </w:pPr>
      <w:bookmarkStart w:id="51" w:name="_Toc23030"/>
      <w:r>
        <w:rPr>
          <w:rFonts w:ascii="楷体_GB2312" w:eastAsia="楷体_GB2312" w:hint="eastAsia"/>
          <w:color w:val="000000"/>
          <w:szCs w:val="32"/>
        </w:rPr>
        <w:t>（二）项目过程情况</w:t>
      </w:r>
      <w:bookmarkEnd w:id="51"/>
    </w:p>
    <w:p w:rsidR="00E46CD6" w:rsidRDefault="002336CD">
      <w:pPr>
        <w:ind w:firstLine="640"/>
        <w:rPr>
          <w:rFonts w:ascii="仿宋_GB2312"/>
          <w:szCs w:val="32"/>
        </w:rPr>
      </w:pPr>
      <w:r>
        <w:rPr>
          <w:rFonts w:ascii="仿宋_GB2312" w:hint="eastAsia"/>
          <w:iCs/>
          <w:szCs w:val="32"/>
        </w:rPr>
        <w:t>项目年初批复预算金额为369.00万元，均为当年财政拨款，资金到位率100.00%；年中，经北京市财政局审批核减，项目全年预算金额为362.240632万元，年度内已全部支出，预算执行率100.00%，资金使用较为规范；但项目缺少修缮类资金专项资金管理办法，财务制度健全性仍存在进一步提升的空间；项目实施过程中的监督管理及档案留存尚且存在一定不足，未见项目相关监理信息，未见施工单位按合同约定提供结算金额3%的质量保修函。综上所述，</w:t>
      </w:r>
      <w:r>
        <w:rPr>
          <w:rFonts w:ascii="仿宋_GB2312" w:hint="eastAsia"/>
          <w:szCs w:val="32"/>
        </w:rPr>
        <w:t>过程指标分</w:t>
      </w:r>
      <w:r>
        <w:rPr>
          <w:rFonts w:ascii="仿宋_GB2312" w:hAnsi="仿宋" w:hint="eastAsia"/>
          <w:iCs/>
        </w:rPr>
        <w:t>值20.00分，得分1</w:t>
      </w:r>
      <w:r>
        <w:rPr>
          <w:rFonts w:ascii="仿宋_GB2312" w:hAnsi="仿宋"/>
          <w:iCs/>
        </w:rPr>
        <w:t>8.</w:t>
      </w:r>
      <w:r>
        <w:rPr>
          <w:rFonts w:ascii="仿宋_GB2312" w:hAnsi="仿宋" w:hint="eastAsia"/>
          <w:iCs/>
        </w:rPr>
        <w:t>00分，得分率</w:t>
      </w:r>
      <w:r>
        <w:rPr>
          <w:rFonts w:ascii="仿宋_GB2312" w:hAnsi="仿宋"/>
          <w:iCs/>
        </w:rPr>
        <w:t>90</w:t>
      </w:r>
      <w:r>
        <w:rPr>
          <w:rFonts w:ascii="仿宋_GB2312" w:hAnsi="仿宋" w:hint="eastAsia"/>
          <w:iCs/>
        </w:rPr>
        <w:t>.00%（</w:t>
      </w:r>
      <w:r>
        <w:rPr>
          <w:rFonts w:ascii="仿宋_GB2312" w:hAnsi="仿宋" w:cs="Arial" w:hint="eastAsia"/>
          <w:bCs/>
          <w:iCs/>
          <w:kern w:val="0"/>
        </w:rPr>
        <w:t>见表5</w:t>
      </w:r>
      <w:r>
        <w:rPr>
          <w:rFonts w:ascii="仿宋_GB2312" w:hAnsi="仿宋" w:hint="eastAsia"/>
          <w:iCs/>
        </w:rPr>
        <w:t>）。</w:t>
      </w:r>
    </w:p>
    <w:p w:rsidR="00E46CD6" w:rsidRDefault="002336CD">
      <w:pPr>
        <w:ind w:firstLineChars="0" w:firstLine="0"/>
        <w:jc w:val="center"/>
        <w:rPr>
          <w:rFonts w:ascii="黑体" w:eastAsia="黑体" w:hAnsi="黑体"/>
          <w:color w:val="000000"/>
          <w:sz w:val="28"/>
          <w:szCs w:val="28"/>
        </w:rPr>
      </w:pPr>
      <w:r>
        <w:rPr>
          <w:rFonts w:ascii="黑体" w:eastAsia="黑体" w:hAnsi="黑体" w:hint="eastAsia"/>
          <w:sz w:val="28"/>
          <w:szCs w:val="28"/>
        </w:rPr>
        <w:t>表5：过程指</w:t>
      </w:r>
      <w:r>
        <w:rPr>
          <w:rFonts w:ascii="黑体" w:eastAsia="黑体" w:hAnsi="黑体" w:hint="eastAsia"/>
          <w:color w:val="000000"/>
          <w:sz w:val="28"/>
          <w:szCs w:val="28"/>
        </w:rPr>
        <w:t>标设定及评分情况表</w:t>
      </w:r>
    </w:p>
    <w:tbl>
      <w:tblPr>
        <w:tblW w:w="5000" w:type="pct"/>
        <w:jc w:val="center"/>
        <w:tblCellMar>
          <w:left w:w="28" w:type="dxa"/>
          <w:right w:w="28" w:type="dxa"/>
        </w:tblCellMar>
        <w:tblLook w:val="04A0"/>
      </w:tblPr>
      <w:tblGrid>
        <w:gridCol w:w="1361"/>
        <w:gridCol w:w="1364"/>
        <w:gridCol w:w="2078"/>
        <w:gridCol w:w="1363"/>
        <w:gridCol w:w="1365"/>
        <w:gridCol w:w="1369"/>
      </w:tblGrid>
      <w:tr w:rsidR="00E46CD6">
        <w:trPr>
          <w:trHeight w:val="397"/>
          <w:tblHeader/>
          <w:jc w:val="center"/>
        </w:trPr>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一级指标</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三级指标</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分值</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得分率</w:t>
            </w:r>
          </w:p>
        </w:tc>
      </w:tr>
      <w:tr w:rsidR="00E46CD6">
        <w:trPr>
          <w:trHeight w:val="397"/>
          <w:jc w:val="center"/>
        </w:trPr>
        <w:tc>
          <w:tcPr>
            <w:tcW w:w="764" w:type="pct"/>
            <w:vMerge w:val="restart"/>
            <w:tcBorders>
              <w:top w:val="single" w:sz="4" w:space="0" w:color="000000"/>
              <w:left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过程</w:t>
            </w:r>
            <w:r>
              <w:rPr>
                <w:rFonts w:ascii="宋体" w:eastAsia="宋体" w:hAnsi="宋体" w:cs="宋体" w:hint="eastAsia"/>
                <w:color w:val="000000"/>
                <w:kern w:val="0"/>
                <w:sz w:val="20"/>
                <w:szCs w:val="20"/>
              </w:rPr>
              <w:br/>
              <w:t>（20分）</w:t>
            </w:r>
          </w:p>
        </w:tc>
        <w:tc>
          <w:tcPr>
            <w:tcW w:w="7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w:t>
            </w: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2.00</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100.00%</w:t>
            </w:r>
          </w:p>
        </w:tc>
      </w:tr>
      <w:tr w:rsidR="00E46CD6">
        <w:trPr>
          <w:trHeight w:val="397"/>
          <w:jc w:val="center"/>
        </w:trPr>
        <w:tc>
          <w:tcPr>
            <w:tcW w:w="764" w:type="pct"/>
            <w:vMerge/>
            <w:tcBorders>
              <w:left w:val="single" w:sz="4" w:space="0" w:color="000000"/>
              <w:right w:val="single" w:sz="4" w:space="0" w:color="000000"/>
            </w:tcBorders>
            <w:vAlign w:val="center"/>
          </w:tcPr>
          <w:p w:rsidR="00E46CD6" w:rsidRDefault="00E46CD6">
            <w:pPr>
              <w:widowControl/>
              <w:spacing w:line="240" w:lineRule="auto"/>
              <w:ind w:firstLineChars="0" w:firstLine="0"/>
              <w:jc w:val="left"/>
              <w:rPr>
                <w:rFonts w:ascii="宋体" w:eastAsia="宋体" w:hAnsi="宋体" w:cs="宋体"/>
                <w:color w:val="000000"/>
                <w:kern w:val="0"/>
                <w:sz w:val="20"/>
                <w:szCs w:val="20"/>
              </w:rPr>
            </w:pPr>
          </w:p>
        </w:tc>
        <w:tc>
          <w:tcPr>
            <w:tcW w:w="766" w:type="pct"/>
            <w:vMerge/>
            <w:tcBorders>
              <w:top w:val="single" w:sz="4" w:space="0" w:color="000000"/>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left"/>
              <w:rPr>
                <w:rFonts w:ascii="宋体" w:eastAsia="宋体" w:hAnsi="宋体" w:cs="宋体"/>
                <w:color w:val="000000"/>
                <w:kern w:val="0"/>
                <w:sz w:val="20"/>
                <w:szCs w:val="20"/>
              </w:rPr>
            </w:pP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预算执行率</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4.00</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100.00%</w:t>
            </w:r>
          </w:p>
        </w:tc>
      </w:tr>
      <w:tr w:rsidR="00E46CD6">
        <w:trPr>
          <w:trHeight w:val="397"/>
          <w:jc w:val="center"/>
        </w:trPr>
        <w:tc>
          <w:tcPr>
            <w:tcW w:w="764" w:type="pct"/>
            <w:vMerge/>
            <w:tcBorders>
              <w:left w:val="single" w:sz="4" w:space="0" w:color="000000"/>
              <w:right w:val="single" w:sz="4" w:space="0" w:color="000000"/>
            </w:tcBorders>
            <w:vAlign w:val="center"/>
          </w:tcPr>
          <w:p w:rsidR="00E46CD6" w:rsidRDefault="00E46CD6">
            <w:pPr>
              <w:widowControl/>
              <w:spacing w:line="240" w:lineRule="auto"/>
              <w:ind w:firstLineChars="0" w:firstLine="0"/>
              <w:jc w:val="left"/>
              <w:rPr>
                <w:rFonts w:ascii="宋体" w:eastAsia="宋体" w:hAnsi="宋体" w:cs="宋体"/>
                <w:color w:val="000000"/>
                <w:kern w:val="0"/>
                <w:sz w:val="20"/>
                <w:szCs w:val="20"/>
              </w:rPr>
            </w:pPr>
          </w:p>
        </w:tc>
        <w:tc>
          <w:tcPr>
            <w:tcW w:w="766" w:type="pct"/>
            <w:vMerge/>
            <w:tcBorders>
              <w:top w:val="single" w:sz="4" w:space="0" w:color="000000"/>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left"/>
              <w:rPr>
                <w:rFonts w:ascii="宋体" w:eastAsia="宋体" w:hAnsi="宋体" w:cs="宋体"/>
                <w:color w:val="000000"/>
                <w:kern w:val="0"/>
                <w:sz w:val="20"/>
                <w:szCs w:val="20"/>
              </w:rPr>
            </w:pP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资金使用合规性</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4.00</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100.00%</w:t>
            </w:r>
          </w:p>
        </w:tc>
      </w:tr>
      <w:tr w:rsidR="00E46CD6">
        <w:trPr>
          <w:trHeight w:val="397"/>
          <w:jc w:val="center"/>
        </w:trPr>
        <w:tc>
          <w:tcPr>
            <w:tcW w:w="764" w:type="pct"/>
            <w:vMerge/>
            <w:tcBorders>
              <w:left w:val="single" w:sz="4" w:space="0" w:color="000000"/>
              <w:right w:val="single" w:sz="4" w:space="0" w:color="000000"/>
            </w:tcBorders>
            <w:vAlign w:val="center"/>
          </w:tcPr>
          <w:p w:rsidR="00E46CD6" w:rsidRDefault="00E46CD6">
            <w:pPr>
              <w:widowControl/>
              <w:spacing w:line="240" w:lineRule="auto"/>
              <w:ind w:firstLineChars="0" w:firstLine="0"/>
              <w:jc w:val="left"/>
              <w:rPr>
                <w:rFonts w:ascii="宋体" w:eastAsia="宋体" w:hAnsi="宋体" w:cs="宋体"/>
                <w:color w:val="000000"/>
                <w:kern w:val="0"/>
                <w:sz w:val="20"/>
                <w:szCs w:val="20"/>
              </w:rPr>
            </w:pPr>
          </w:p>
        </w:tc>
        <w:tc>
          <w:tcPr>
            <w:tcW w:w="766" w:type="pct"/>
            <w:vMerge w:val="restart"/>
            <w:tcBorders>
              <w:top w:val="single" w:sz="4" w:space="0" w:color="000000"/>
              <w:left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组织实施</w:t>
            </w: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管理制度健全性</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4.33</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86.60%</w:t>
            </w:r>
          </w:p>
        </w:tc>
      </w:tr>
      <w:tr w:rsidR="00E46CD6">
        <w:trPr>
          <w:trHeight w:val="397"/>
          <w:jc w:val="center"/>
        </w:trPr>
        <w:tc>
          <w:tcPr>
            <w:tcW w:w="764" w:type="pct"/>
            <w:vMerge/>
            <w:tcBorders>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center"/>
              <w:rPr>
                <w:rFonts w:ascii="宋体" w:eastAsia="宋体" w:hAnsi="宋体" w:cs="宋体"/>
                <w:color w:val="000000"/>
                <w:kern w:val="0"/>
                <w:sz w:val="20"/>
                <w:szCs w:val="20"/>
              </w:rPr>
            </w:pPr>
          </w:p>
        </w:tc>
        <w:tc>
          <w:tcPr>
            <w:tcW w:w="766" w:type="pct"/>
            <w:vMerge/>
            <w:tcBorders>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center"/>
              <w:rPr>
                <w:rFonts w:ascii="宋体" w:eastAsia="宋体" w:hAnsi="宋体" w:cs="宋体"/>
                <w:color w:val="000000"/>
                <w:kern w:val="0"/>
                <w:sz w:val="20"/>
                <w:szCs w:val="20"/>
              </w:rPr>
            </w:pPr>
          </w:p>
        </w:tc>
        <w:tc>
          <w:tcPr>
            <w:tcW w:w="11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制度执行有效性</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3.67</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73.40%</w:t>
            </w:r>
          </w:p>
        </w:tc>
      </w:tr>
      <w:tr w:rsidR="00E46CD6">
        <w:trPr>
          <w:trHeight w:val="340"/>
          <w:jc w:val="center"/>
        </w:trPr>
        <w:tc>
          <w:tcPr>
            <w:tcW w:w="269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7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20</w:t>
            </w:r>
          </w:p>
        </w:tc>
        <w:tc>
          <w:tcPr>
            <w:tcW w:w="7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18.00</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90.00%</w:t>
            </w:r>
          </w:p>
        </w:tc>
      </w:tr>
    </w:tbl>
    <w:p w:rsidR="00E46CD6" w:rsidRDefault="00E46CD6">
      <w:pPr>
        <w:pStyle w:val="ab"/>
        <w:spacing w:line="240" w:lineRule="auto"/>
      </w:pPr>
    </w:p>
    <w:p w:rsidR="00E46CD6" w:rsidRDefault="002336CD">
      <w:pPr>
        <w:pStyle w:val="ab"/>
        <w:outlineLvl w:val="2"/>
      </w:pPr>
      <w:r>
        <w:t>1.</w:t>
      </w:r>
      <w:r>
        <w:rPr>
          <w:rFonts w:hint="eastAsia"/>
        </w:rPr>
        <w:t>资金管理</w:t>
      </w:r>
    </w:p>
    <w:p w:rsidR="00E46CD6" w:rsidRDefault="002336CD">
      <w:pPr>
        <w:pStyle w:val="ab"/>
        <w:outlineLvl w:val="3"/>
      </w:pPr>
      <w:r>
        <w:rPr>
          <w:rFonts w:hint="eastAsia"/>
        </w:rPr>
        <w:t>（1）资金到位率、预算执行率</w:t>
      </w:r>
    </w:p>
    <w:p w:rsidR="00E46CD6" w:rsidRDefault="002336CD">
      <w:pPr>
        <w:ind w:firstLine="640"/>
        <w:rPr>
          <w:rFonts w:ascii="仿宋_GB2312"/>
          <w:iCs/>
          <w:szCs w:val="32"/>
        </w:rPr>
      </w:pPr>
      <w:r>
        <w:rPr>
          <w:rFonts w:ascii="仿宋_GB2312" w:hint="eastAsia"/>
          <w:iCs/>
          <w:szCs w:val="32"/>
        </w:rPr>
        <w:t>2023年度，项目年初批复预算金额为369.00万元，均为当年财政拨款，于2023年4月</w:t>
      </w:r>
      <w:r>
        <w:rPr>
          <w:rFonts w:ascii="仿宋_GB2312" w:hint="eastAsia"/>
          <w:szCs w:val="32"/>
        </w:rPr>
        <w:t>全部及时到位，资金到位率100.00%</w:t>
      </w:r>
      <w:r>
        <w:rPr>
          <w:rFonts w:ascii="仿宋_GB2312" w:hint="eastAsia"/>
          <w:iCs/>
          <w:szCs w:val="32"/>
        </w:rPr>
        <w:t>；年中，经市财政局审批，项目预算核减6.759368万元，项目全年预算金额为362.240632万元。截至2023年12月31日，项目预算资金已全部执行，分别于2023年6月支付合同预付款118.592069万元，于2023年9月支付合同尾款243.648563万元，项目预算执行率为100.00%。</w:t>
      </w:r>
    </w:p>
    <w:p w:rsidR="00E46CD6" w:rsidRDefault="002336CD">
      <w:pPr>
        <w:pStyle w:val="ab"/>
        <w:outlineLvl w:val="3"/>
      </w:pPr>
      <w:r>
        <w:rPr>
          <w:rFonts w:hint="eastAsia"/>
        </w:rPr>
        <w:t>（</w:t>
      </w:r>
      <w:r>
        <w:t>2</w:t>
      </w:r>
      <w:r>
        <w:rPr>
          <w:rFonts w:hint="eastAsia"/>
        </w:rPr>
        <w:t>）资金使用合规性</w:t>
      </w:r>
    </w:p>
    <w:p w:rsidR="00E46CD6" w:rsidRDefault="002336CD">
      <w:pPr>
        <w:ind w:firstLine="640"/>
        <w:rPr>
          <w:rFonts w:ascii="仿宋_GB2312"/>
          <w:iCs/>
          <w:szCs w:val="32"/>
        </w:rPr>
      </w:pPr>
      <w:r>
        <w:rPr>
          <w:rFonts w:ascii="仿宋_GB2312" w:hint="eastAsia"/>
          <w:iCs/>
          <w:szCs w:val="32"/>
        </w:rPr>
        <w:t>项目资金使用符合《北京市机关事务管理中心管理中心财务管理办法》《北京市机关事务管理中心经费支出和报销管理办法》《北京市机关事务管理中心管理中心合同管理办法》以及《关于印发&lt;北京市党政机关办公用房维修管理办法（试行）&gt;的通知》（京财党政群〔2022〕231号）等业务、财务制度，项目资金使用和财务管控能够依照相关制度进行。整体上，项目资金单独核算、专款专用，资金支出均有完整的审批手续；项目资金支出原始凭证和附件真实、规范、完整，项目支出未超总预算，资金使用较为合规。</w:t>
      </w:r>
    </w:p>
    <w:p w:rsidR="00E46CD6" w:rsidRDefault="002336CD">
      <w:pPr>
        <w:pStyle w:val="ab"/>
        <w:outlineLvl w:val="2"/>
      </w:pPr>
      <w:r>
        <w:rPr>
          <w:rFonts w:hint="eastAsia"/>
        </w:rPr>
        <w:t>2.组织实施</w:t>
      </w:r>
    </w:p>
    <w:p w:rsidR="00E46CD6" w:rsidRDefault="002336CD">
      <w:pPr>
        <w:pStyle w:val="ab"/>
        <w:outlineLvl w:val="3"/>
      </w:pPr>
      <w:r>
        <w:rPr>
          <w:rFonts w:hint="eastAsia"/>
        </w:rPr>
        <w:t>（1）管理制度健全性</w:t>
      </w:r>
    </w:p>
    <w:p w:rsidR="00E46CD6" w:rsidRDefault="002336CD">
      <w:pPr>
        <w:ind w:firstLine="643"/>
        <w:rPr>
          <w:rFonts w:ascii="黑体" w:eastAsia="黑体" w:hAnsi="黑体"/>
          <w:color w:val="000000"/>
          <w:szCs w:val="32"/>
        </w:rPr>
      </w:pPr>
      <w:r>
        <w:rPr>
          <w:rFonts w:ascii="仿宋_GB2312" w:hint="eastAsia"/>
          <w:b/>
          <w:bCs/>
          <w:szCs w:val="32"/>
        </w:rPr>
        <w:t>财务管理制度方面</w:t>
      </w:r>
      <w:r>
        <w:rPr>
          <w:rFonts w:ascii="仿宋_GB2312" w:hint="eastAsia"/>
          <w:szCs w:val="32"/>
        </w:rPr>
        <w:t>。市机关事务管理中心2022年制定了</w:t>
      </w:r>
      <w:r>
        <w:rPr>
          <w:rFonts w:ascii="仿宋_GB2312" w:hint="eastAsia"/>
          <w:iCs/>
          <w:szCs w:val="32"/>
        </w:rPr>
        <w:t>《北京市机关事务管理中心内部控制制度汇编》，包含了《北京市机关事务管理中心预算管理办法》《北京市机关事务管理中心合同管理办法》《北京市机关事务管理中心财务管理办法》等财务管理制度，能够对项目执行过程中的基本财务管理进行明确规范与指导；但项目缺少修缮类资金专项管理办法，项目财务制度健全性仍存在进一步提升的空间。</w:t>
      </w:r>
    </w:p>
    <w:p w:rsidR="00E46CD6" w:rsidRDefault="002336CD">
      <w:pPr>
        <w:ind w:firstLine="643"/>
        <w:rPr>
          <w:szCs w:val="32"/>
        </w:rPr>
      </w:pPr>
      <w:r>
        <w:rPr>
          <w:rFonts w:ascii="仿宋_GB2312" w:hint="eastAsia"/>
          <w:b/>
          <w:bCs/>
          <w:iCs/>
          <w:szCs w:val="32"/>
        </w:rPr>
        <w:t>业务管理制度方面</w:t>
      </w:r>
      <w:r>
        <w:rPr>
          <w:rFonts w:ascii="仿宋_GB2312" w:hint="eastAsia"/>
          <w:iCs/>
          <w:szCs w:val="32"/>
        </w:rPr>
        <w:t>。</w:t>
      </w:r>
      <w:r>
        <w:rPr>
          <w:rFonts w:ascii="仿宋_GB2312" w:hAnsi="宋体" w:hint="eastAsia"/>
          <w:szCs w:val="32"/>
        </w:rPr>
        <w:t>项目主要依据</w:t>
      </w:r>
      <w:r>
        <w:rPr>
          <w:rFonts w:ascii="仿宋_GB2312" w:hint="eastAsia"/>
          <w:iCs/>
          <w:szCs w:val="32"/>
        </w:rPr>
        <w:t>《北京市机关事务管理中心内部控制制度汇编》中《北京市机关事务管理中心办公用房维修管理办法》以及《关于印发&lt;北京市党政机关办公用房维修管理办法（试行）&gt;的通知》（京财党政群〔2022〕231号）等</w:t>
      </w:r>
      <w:r>
        <w:rPr>
          <w:rFonts w:ascii="仿宋_GB2312" w:hint="eastAsia"/>
          <w:szCs w:val="32"/>
        </w:rPr>
        <w:t>相关要求对项目进行管理和监督，管理制度合法合规、较为完整。</w:t>
      </w:r>
    </w:p>
    <w:p w:rsidR="00E46CD6" w:rsidRDefault="002336CD">
      <w:pPr>
        <w:pStyle w:val="ab"/>
        <w:outlineLvl w:val="3"/>
      </w:pPr>
      <w:r>
        <w:rPr>
          <w:rFonts w:hint="eastAsia"/>
        </w:rPr>
        <w:t>（2）制度执行有效性</w:t>
      </w:r>
    </w:p>
    <w:p w:rsidR="00E46CD6" w:rsidRDefault="002336CD">
      <w:pPr>
        <w:ind w:firstLine="643"/>
        <w:rPr>
          <w:rFonts w:ascii="仿宋_GB2312"/>
          <w:iCs/>
          <w:szCs w:val="32"/>
        </w:rPr>
      </w:pPr>
      <w:r>
        <w:rPr>
          <w:rFonts w:ascii="仿宋_GB2312" w:hint="eastAsia"/>
          <w:b/>
          <w:iCs/>
          <w:szCs w:val="32"/>
        </w:rPr>
        <w:t>执行过程规范性方面</w:t>
      </w:r>
      <w:r>
        <w:rPr>
          <w:rFonts w:ascii="仿宋_GB2312" w:hint="eastAsia"/>
          <w:iCs/>
          <w:szCs w:val="32"/>
        </w:rPr>
        <w:t>。项目采取竞争性磋商的方式确定施工单位，符合《政府采购竞争性磋商采购方式管理暂行办法》（财库〔2014〕214号）的相关规定，竞争性磋商或公开招标过程中未出现违反《政府采购法》等不规范的情况。但是，评价发现以下两方面问题：一是依据《北京市机关事务管理中心办公用房维修管理办法》中“物业保障处是大中修和维修改造责任单位…负责组织开展办公用房安全评估，编制办公用房大中修规划；负责办公用房大中修项目申报，督促办公用房大中修项目实施”的相关要求，物业保障处作为各办公区“大中修和维修改造”的管理机构，未见其对于各办公区整体维修改造的中长期计划，也未见物业保障处初审、内审部门审查的相关过程资料，项目施工过程中各项财务工作的合法性、合规性有待进一步考察；二是项目仅开展了验收工作，未按照合同约定和相关管理办法进行竣工结算审计，项目的最终造价和投资效果难以衡量。</w:t>
      </w:r>
    </w:p>
    <w:p w:rsidR="00E46CD6" w:rsidRDefault="002336CD">
      <w:pPr>
        <w:ind w:firstLine="643"/>
        <w:rPr>
          <w:rFonts w:ascii="仿宋_GB2312"/>
          <w:iCs/>
          <w:szCs w:val="32"/>
        </w:rPr>
      </w:pPr>
      <w:r>
        <w:rPr>
          <w:rFonts w:ascii="仿宋_GB2312" w:hint="eastAsia"/>
          <w:b/>
          <w:iCs/>
          <w:szCs w:val="32"/>
        </w:rPr>
        <w:t>档案资料完备性方面</w:t>
      </w:r>
      <w:r>
        <w:rPr>
          <w:rFonts w:ascii="仿宋_GB2312" w:hint="eastAsia"/>
          <w:iCs/>
          <w:szCs w:val="32"/>
        </w:rPr>
        <w:t>。台基厂大街办公区管理处能够及时整理、归档项目实施过程中的项目申报文本、项目支出预算及预算明细、批复预算的函、响应文件、竞争性磋商评审报告、会计凭证等过程性资料及总结报告等成果材料，资料留存完备性总体较好。但是，本项目中《工程款支付申请表》以及竣工验收单显示，本项目存在监理参与，但未见监理采购、监理合同、监理规划和细则、监理会议纪要、月报及竣工质量评估报告及总结等相关监理管理信息，与《北京市机关事务管理中心建设项目管理办法》中“管理中心投资额100万元（含）以上的建设项目，由监理机构根据相关规定和技术标准、监理合同等，对照施工单位提交的开工申请，对开工条件逐项进行审查并报基建处进行审批后下达开工令”等要求的匹配程度难以衡量；且未见施工单位按合同约定提供结算金额3%的质量保修函。</w:t>
      </w:r>
    </w:p>
    <w:p w:rsidR="00E46CD6" w:rsidRDefault="002336CD">
      <w:pPr>
        <w:ind w:firstLine="640"/>
        <w:outlineLvl w:val="1"/>
        <w:rPr>
          <w:rFonts w:ascii="楷体_GB2312" w:eastAsia="楷体_GB2312"/>
          <w:color w:val="000000"/>
          <w:szCs w:val="32"/>
        </w:rPr>
      </w:pPr>
      <w:bookmarkStart w:id="52" w:name="_Toc16650"/>
      <w:r>
        <w:rPr>
          <w:rFonts w:ascii="楷体_GB2312" w:eastAsia="楷体_GB2312" w:hint="eastAsia"/>
          <w:color w:val="000000"/>
          <w:szCs w:val="32"/>
        </w:rPr>
        <w:t>（三）项目产出情况</w:t>
      </w:r>
      <w:bookmarkEnd w:id="52"/>
    </w:p>
    <w:p w:rsidR="00E46CD6" w:rsidRDefault="002336CD">
      <w:pPr>
        <w:ind w:firstLine="640"/>
        <w:rPr>
          <w:rFonts w:ascii="仿宋_GB2312"/>
          <w:iCs/>
          <w:szCs w:val="32"/>
        </w:rPr>
      </w:pPr>
      <w:r>
        <w:rPr>
          <w:rFonts w:ascii="仿宋_GB2312" w:hint="eastAsia"/>
          <w:iCs/>
          <w:szCs w:val="32"/>
        </w:rPr>
        <w:t>项目按计划完成了台基厂大街2号院2023年度维修改造工作，对室外路面1800平方米和室内房间3700平方米设备设施进行了装修改造，年度内完成施工，验收合格率100%。</w:t>
      </w:r>
      <w:r>
        <w:rPr>
          <w:rFonts w:ascii="仿宋_GB2312" w:hint="eastAsia"/>
        </w:rPr>
        <w:t>项目通过预算评审、竞争性磋商等方式一定程度上节约了成本。但评价发现，项目</w:t>
      </w:r>
      <w:r>
        <w:rPr>
          <w:rFonts w:hint="eastAsia"/>
        </w:rPr>
        <w:t>室外路面未施划道路及停车位标线、产出存在一定不足，</w:t>
      </w:r>
      <w:r>
        <w:rPr>
          <w:rFonts w:hint="eastAsia"/>
          <w:iCs/>
          <w:szCs w:val="32"/>
        </w:rPr>
        <w:t>验收规范性有待进一步加强，</w:t>
      </w:r>
      <w:r>
        <w:rPr>
          <w:rFonts w:hint="eastAsia"/>
        </w:rPr>
        <w:t>施工进度及付款进度均与合同约定存在差异，成本控制措施不够明确。</w:t>
      </w:r>
      <w:r>
        <w:rPr>
          <w:rFonts w:ascii="仿宋_GB2312" w:hAnsi="仿宋" w:hint="eastAsia"/>
          <w:iCs/>
        </w:rPr>
        <w:t>产出指标分值40.00分，得分34.00分，得分率85.00%（</w:t>
      </w:r>
      <w:r>
        <w:rPr>
          <w:rFonts w:ascii="仿宋_GB2312" w:hAnsi="仿宋" w:cs="Arial" w:hint="eastAsia"/>
          <w:bCs/>
          <w:iCs/>
          <w:kern w:val="0"/>
        </w:rPr>
        <w:t>见表6</w:t>
      </w:r>
      <w:r>
        <w:rPr>
          <w:rFonts w:ascii="仿宋_GB2312" w:hAnsi="仿宋" w:hint="eastAsia"/>
          <w:iCs/>
        </w:rPr>
        <w:t>）。</w:t>
      </w:r>
    </w:p>
    <w:p w:rsidR="00E46CD6" w:rsidRDefault="002336CD">
      <w:pPr>
        <w:ind w:firstLineChars="0" w:firstLine="0"/>
        <w:jc w:val="center"/>
        <w:rPr>
          <w:rFonts w:ascii="黑体" w:eastAsia="黑体" w:hAnsi="黑体"/>
          <w:iCs/>
          <w:sz w:val="28"/>
          <w:szCs w:val="28"/>
        </w:rPr>
      </w:pPr>
      <w:r>
        <w:rPr>
          <w:rFonts w:ascii="黑体" w:eastAsia="黑体" w:hAnsi="黑体" w:hint="eastAsia"/>
          <w:iCs/>
          <w:sz w:val="28"/>
          <w:szCs w:val="28"/>
        </w:rPr>
        <w:t>表6：产出指标设定及评分情况表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110"/>
        <w:gridCol w:w="1184"/>
        <w:gridCol w:w="3206"/>
        <w:gridCol w:w="1032"/>
        <w:gridCol w:w="1184"/>
        <w:gridCol w:w="1184"/>
      </w:tblGrid>
      <w:tr w:rsidR="00E46CD6">
        <w:trPr>
          <w:trHeight w:val="397"/>
          <w:tblHeader/>
          <w:jc w:val="center"/>
        </w:trPr>
        <w:tc>
          <w:tcPr>
            <w:tcW w:w="623"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一级指标</w:t>
            </w:r>
          </w:p>
        </w:tc>
        <w:tc>
          <w:tcPr>
            <w:tcW w:w="665"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二级指标</w:t>
            </w:r>
          </w:p>
        </w:tc>
        <w:tc>
          <w:tcPr>
            <w:tcW w:w="1800"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三级指标</w:t>
            </w:r>
          </w:p>
        </w:tc>
        <w:tc>
          <w:tcPr>
            <w:tcW w:w="580"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分值</w:t>
            </w:r>
          </w:p>
        </w:tc>
        <w:tc>
          <w:tcPr>
            <w:tcW w:w="665"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得分</w:t>
            </w:r>
          </w:p>
        </w:tc>
        <w:tc>
          <w:tcPr>
            <w:tcW w:w="665" w:type="pct"/>
            <w:vAlign w:val="center"/>
          </w:tcPr>
          <w:p w:rsidR="00E46CD6" w:rsidRDefault="002336CD">
            <w:pPr>
              <w:widowControl/>
              <w:spacing w:line="240" w:lineRule="auto"/>
              <w:ind w:firstLineChars="0" w:firstLine="0"/>
              <w:jc w:val="center"/>
              <w:rPr>
                <w:rFonts w:ascii="宋体" w:eastAsia="宋体" w:hAnsi="宋体" w:cs="Arial"/>
                <w:b/>
                <w:bCs/>
                <w:iCs/>
                <w:kern w:val="0"/>
                <w:sz w:val="20"/>
                <w:szCs w:val="20"/>
              </w:rPr>
            </w:pPr>
            <w:r>
              <w:rPr>
                <w:rFonts w:ascii="宋体" w:eastAsia="宋体" w:hAnsi="宋体" w:cs="Arial" w:hint="eastAsia"/>
                <w:b/>
                <w:bCs/>
                <w:iCs/>
                <w:kern w:val="0"/>
                <w:sz w:val="20"/>
                <w:szCs w:val="20"/>
              </w:rPr>
              <w:t>得分率</w:t>
            </w:r>
          </w:p>
        </w:tc>
      </w:tr>
      <w:tr w:rsidR="00E46CD6">
        <w:trPr>
          <w:trHeight w:val="397"/>
          <w:jc w:val="center"/>
        </w:trPr>
        <w:tc>
          <w:tcPr>
            <w:tcW w:w="623" w:type="pct"/>
            <w:vMerge w:val="restart"/>
            <w:vAlign w:val="center"/>
          </w:tcPr>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产出</w:t>
            </w:r>
          </w:p>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（4</w:t>
            </w:r>
            <w:r>
              <w:rPr>
                <w:rFonts w:ascii="宋体" w:eastAsia="宋体" w:hAnsi="宋体" w:cs="宋体"/>
                <w:iCs/>
                <w:kern w:val="0"/>
                <w:sz w:val="20"/>
                <w:szCs w:val="20"/>
              </w:rPr>
              <w:t>0</w:t>
            </w:r>
            <w:r>
              <w:rPr>
                <w:rFonts w:ascii="宋体" w:eastAsia="宋体" w:hAnsi="宋体" w:cs="宋体" w:hint="eastAsia"/>
                <w:iCs/>
                <w:kern w:val="0"/>
                <w:sz w:val="20"/>
                <w:szCs w:val="20"/>
              </w:rPr>
              <w:t>分）</w:t>
            </w:r>
          </w:p>
        </w:tc>
        <w:tc>
          <w:tcPr>
            <w:tcW w:w="665" w:type="pct"/>
            <w:vAlign w:val="center"/>
          </w:tcPr>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产出数量</w:t>
            </w:r>
          </w:p>
        </w:tc>
        <w:tc>
          <w:tcPr>
            <w:tcW w:w="1800" w:type="pct"/>
            <w:vAlign w:val="center"/>
          </w:tcPr>
          <w:p w:rsidR="00E46CD6" w:rsidRDefault="002336CD">
            <w:pPr>
              <w:widowControl/>
              <w:spacing w:line="240" w:lineRule="auto"/>
              <w:ind w:firstLineChars="0" w:firstLine="0"/>
              <w:jc w:val="center"/>
              <w:rPr>
                <w:rFonts w:ascii="宋体" w:eastAsia="宋体" w:hAnsi="宋体"/>
                <w:color w:val="000000"/>
                <w:kern w:val="0"/>
                <w:sz w:val="20"/>
                <w:szCs w:val="20"/>
              </w:rPr>
            </w:pPr>
            <w:r>
              <w:rPr>
                <w:rFonts w:ascii="宋体" w:eastAsia="宋体" w:hAnsi="宋体" w:hint="eastAsia"/>
                <w:color w:val="000000"/>
                <w:sz w:val="20"/>
                <w:szCs w:val="20"/>
              </w:rPr>
              <w:t>实际完成率</w:t>
            </w:r>
          </w:p>
        </w:tc>
        <w:tc>
          <w:tcPr>
            <w:tcW w:w="580" w:type="pct"/>
            <w:vAlign w:val="center"/>
          </w:tcPr>
          <w:p w:rsidR="00E46CD6" w:rsidRDefault="002336CD">
            <w:pPr>
              <w:widowControl/>
              <w:spacing w:line="240" w:lineRule="auto"/>
              <w:ind w:firstLineChars="0" w:firstLine="0"/>
              <w:jc w:val="center"/>
              <w:rPr>
                <w:rFonts w:ascii="宋体" w:eastAsia="宋体" w:hAnsi="宋体"/>
                <w:color w:val="000000"/>
                <w:kern w:val="0"/>
                <w:sz w:val="20"/>
                <w:szCs w:val="20"/>
              </w:rPr>
            </w:pPr>
            <w:r>
              <w:rPr>
                <w:rFonts w:ascii="宋体" w:eastAsia="宋体" w:hAnsi="宋体" w:hint="eastAsia"/>
                <w:color w:val="000000"/>
                <w:kern w:val="0"/>
                <w:sz w:val="20"/>
                <w:szCs w:val="20"/>
              </w:rPr>
              <w:t>15</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13.67</w:t>
            </w:r>
          </w:p>
        </w:tc>
        <w:tc>
          <w:tcPr>
            <w:tcW w:w="665" w:type="pct"/>
            <w:vAlign w:val="center"/>
          </w:tcPr>
          <w:p w:rsidR="00E46CD6" w:rsidRDefault="002336CD">
            <w:pPr>
              <w:widowControl/>
              <w:spacing w:line="240" w:lineRule="auto"/>
              <w:ind w:firstLineChars="0" w:firstLine="0"/>
              <w:jc w:val="center"/>
              <w:rPr>
                <w:rFonts w:ascii="宋体" w:eastAsia="宋体" w:hAnsi="宋体"/>
                <w:color w:val="000000"/>
                <w:kern w:val="0"/>
                <w:sz w:val="20"/>
                <w:szCs w:val="20"/>
              </w:rPr>
            </w:pPr>
            <w:r>
              <w:rPr>
                <w:rFonts w:ascii="宋体" w:eastAsia="宋体" w:hAnsi="宋体" w:hint="eastAsia"/>
                <w:color w:val="000000"/>
                <w:kern w:val="0"/>
                <w:sz w:val="20"/>
                <w:szCs w:val="20"/>
              </w:rPr>
              <w:t>91.13%</w:t>
            </w:r>
          </w:p>
        </w:tc>
      </w:tr>
      <w:tr w:rsidR="00E46CD6">
        <w:trPr>
          <w:trHeight w:val="397"/>
          <w:jc w:val="center"/>
        </w:trPr>
        <w:tc>
          <w:tcPr>
            <w:tcW w:w="623" w:type="pct"/>
            <w:vMerge/>
            <w:vAlign w:val="center"/>
          </w:tcPr>
          <w:p w:rsidR="00E46CD6" w:rsidRDefault="00E46CD6">
            <w:pPr>
              <w:widowControl/>
              <w:spacing w:line="240" w:lineRule="auto"/>
              <w:ind w:firstLineChars="0" w:firstLine="0"/>
              <w:jc w:val="center"/>
              <w:rPr>
                <w:rFonts w:ascii="宋体" w:eastAsia="宋体" w:hAnsi="宋体" w:cs="宋体"/>
                <w:iCs/>
                <w:kern w:val="0"/>
                <w:sz w:val="20"/>
                <w:szCs w:val="20"/>
              </w:rPr>
            </w:pPr>
          </w:p>
        </w:tc>
        <w:tc>
          <w:tcPr>
            <w:tcW w:w="665" w:type="pct"/>
            <w:vAlign w:val="center"/>
          </w:tcPr>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产出质量</w:t>
            </w:r>
          </w:p>
        </w:tc>
        <w:tc>
          <w:tcPr>
            <w:tcW w:w="180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质量达标情况</w:t>
            </w:r>
          </w:p>
        </w:tc>
        <w:tc>
          <w:tcPr>
            <w:tcW w:w="58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10</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8.33</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kern w:val="0"/>
                <w:sz w:val="20"/>
                <w:szCs w:val="20"/>
              </w:rPr>
              <w:t>83.30%</w:t>
            </w:r>
          </w:p>
        </w:tc>
      </w:tr>
      <w:tr w:rsidR="00E46CD6">
        <w:trPr>
          <w:trHeight w:val="397"/>
          <w:jc w:val="center"/>
        </w:trPr>
        <w:tc>
          <w:tcPr>
            <w:tcW w:w="623" w:type="pct"/>
            <w:vMerge/>
            <w:vAlign w:val="center"/>
          </w:tcPr>
          <w:p w:rsidR="00E46CD6" w:rsidRDefault="00E46CD6">
            <w:pPr>
              <w:widowControl/>
              <w:spacing w:line="240" w:lineRule="auto"/>
              <w:ind w:firstLineChars="0" w:firstLine="0"/>
              <w:jc w:val="center"/>
              <w:rPr>
                <w:rFonts w:ascii="宋体" w:eastAsia="宋体" w:hAnsi="宋体" w:cs="宋体"/>
                <w:iCs/>
                <w:kern w:val="0"/>
                <w:sz w:val="20"/>
                <w:szCs w:val="20"/>
              </w:rPr>
            </w:pPr>
          </w:p>
        </w:tc>
        <w:tc>
          <w:tcPr>
            <w:tcW w:w="665" w:type="pct"/>
            <w:vAlign w:val="center"/>
          </w:tcPr>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产出时效</w:t>
            </w:r>
          </w:p>
        </w:tc>
        <w:tc>
          <w:tcPr>
            <w:tcW w:w="180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完成及时性</w:t>
            </w:r>
          </w:p>
        </w:tc>
        <w:tc>
          <w:tcPr>
            <w:tcW w:w="58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10</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8.00</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kern w:val="0"/>
                <w:sz w:val="20"/>
                <w:szCs w:val="20"/>
              </w:rPr>
              <w:t>80.00%</w:t>
            </w:r>
          </w:p>
        </w:tc>
      </w:tr>
      <w:tr w:rsidR="00E46CD6">
        <w:trPr>
          <w:trHeight w:val="397"/>
          <w:jc w:val="center"/>
        </w:trPr>
        <w:tc>
          <w:tcPr>
            <w:tcW w:w="623" w:type="pct"/>
            <w:vMerge/>
            <w:vAlign w:val="center"/>
          </w:tcPr>
          <w:p w:rsidR="00E46CD6" w:rsidRDefault="00E46CD6">
            <w:pPr>
              <w:widowControl/>
              <w:spacing w:line="240" w:lineRule="auto"/>
              <w:ind w:firstLineChars="0" w:firstLine="0"/>
              <w:jc w:val="center"/>
              <w:rPr>
                <w:rFonts w:ascii="宋体" w:eastAsia="宋体" w:hAnsi="宋体" w:cs="宋体"/>
                <w:iCs/>
                <w:kern w:val="0"/>
                <w:sz w:val="20"/>
                <w:szCs w:val="20"/>
              </w:rPr>
            </w:pPr>
          </w:p>
        </w:tc>
        <w:tc>
          <w:tcPr>
            <w:tcW w:w="665" w:type="pct"/>
            <w:vAlign w:val="center"/>
          </w:tcPr>
          <w:p w:rsidR="00E46CD6" w:rsidRDefault="002336CD">
            <w:pPr>
              <w:widowControl/>
              <w:spacing w:line="240" w:lineRule="auto"/>
              <w:ind w:firstLineChars="0" w:firstLine="0"/>
              <w:jc w:val="center"/>
              <w:rPr>
                <w:rFonts w:ascii="宋体" w:eastAsia="宋体" w:hAnsi="宋体" w:cs="宋体"/>
                <w:iCs/>
                <w:kern w:val="0"/>
                <w:sz w:val="20"/>
                <w:szCs w:val="20"/>
              </w:rPr>
            </w:pPr>
            <w:r>
              <w:rPr>
                <w:rFonts w:ascii="宋体" w:eastAsia="宋体" w:hAnsi="宋体" w:cs="宋体" w:hint="eastAsia"/>
                <w:iCs/>
                <w:kern w:val="0"/>
                <w:sz w:val="20"/>
                <w:szCs w:val="20"/>
              </w:rPr>
              <w:t>产出成本</w:t>
            </w:r>
          </w:p>
        </w:tc>
        <w:tc>
          <w:tcPr>
            <w:tcW w:w="180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成本节约情况</w:t>
            </w:r>
          </w:p>
        </w:tc>
        <w:tc>
          <w:tcPr>
            <w:tcW w:w="580"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5</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sz w:val="20"/>
                <w:szCs w:val="20"/>
              </w:rPr>
              <w:t>4.00</w:t>
            </w:r>
          </w:p>
        </w:tc>
        <w:tc>
          <w:tcPr>
            <w:tcW w:w="665" w:type="pct"/>
            <w:vAlign w:val="center"/>
          </w:tcPr>
          <w:p w:rsidR="00E46CD6" w:rsidRDefault="002336CD">
            <w:pPr>
              <w:spacing w:line="240" w:lineRule="auto"/>
              <w:ind w:firstLineChars="0" w:firstLine="0"/>
              <w:jc w:val="center"/>
              <w:rPr>
                <w:rFonts w:ascii="宋体" w:eastAsia="宋体" w:hAnsi="宋体"/>
                <w:color w:val="000000"/>
                <w:sz w:val="20"/>
                <w:szCs w:val="20"/>
              </w:rPr>
            </w:pPr>
            <w:r>
              <w:rPr>
                <w:rFonts w:ascii="宋体" w:eastAsia="宋体" w:hAnsi="宋体" w:hint="eastAsia"/>
                <w:color w:val="000000"/>
                <w:kern w:val="0"/>
                <w:sz w:val="20"/>
                <w:szCs w:val="20"/>
              </w:rPr>
              <w:t>80.00%</w:t>
            </w:r>
          </w:p>
        </w:tc>
      </w:tr>
      <w:tr w:rsidR="00E46CD6">
        <w:trPr>
          <w:trHeight w:val="397"/>
          <w:jc w:val="center"/>
        </w:trPr>
        <w:tc>
          <w:tcPr>
            <w:tcW w:w="3089" w:type="pct"/>
            <w:gridSpan w:val="3"/>
            <w:vAlign w:val="center"/>
          </w:tcPr>
          <w:p w:rsidR="00E46CD6" w:rsidRDefault="002336CD">
            <w:pPr>
              <w:widowControl/>
              <w:spacing w:line="240" w:lineRule="auto"/>
              <w:ind w:firstLineChars="0" w:firstLine="0"/>
              <w:jc w:val="center"/>
              <w:rPr>
                <w:rFonts w:ascii="宋体" w:eastAsia="宋体" w:hAnsi="宋体" w:cs="宋体"/>
                <w:b/>
                <w:bCs/>
                <w:iCs/>
                <w:kern w:val="0"/>
                <w:sz w:val="20"/>
                <w:szCs w:val="20"/>
              </w:rPr>
            </w:pPr>
            <w:r>
              <w:rPr>
                <w:rFonts w:ascii="宋体" w:eastAsia="宋体" w:hAnsi="宋体" w:cs="宋体" w:hint="eastAsia"/>
                <w:b/>
                <w:bCs/>
                <w:iCs/>
                <w:kern w:val="0"/>
                <w:sz w:val="20"/>
                <w:szCs w:val="20"/>
              </w:rPr>
              <w:t>合计</w:t>
            </w:r>
          </w:p>
        </w:tc>
        <w:tc>
          <w:tcPr>
            <w:tcW w:w="580" w:type="pct"/>
            <w:vAlign w:val="center"/>
          </w:tcPr>
          <w:p w:rsidR="00E46CD6" w:rsidRDefault="002336CD">
            <w:pPr>
              <w:widowControl/>
              <w:spacing w:line="240" w:lineRule="auto"/>
              <w:ind w:firstLineChars="0" w:firstLine="0"/>
              <w:jc w:val="center"/>
              <w:rPr>
                <w:rFonts w:ascii="宋体" w:eastAsia="宋体" w:hAnsi="宋体"/>
                <w:b/>
                <w:bCs/>
                <w:color w:val="000000"/>
                <w:kern w:val="0"/>
                <w:sz w:val="20"/>
                <w:szCs w:val="20"/>
              </w:rPr>
            </w:pPr>
            <w:r>
              <w:rPr>
                <w:rFonts w:ascii="宋体" w:eastAsia="宋体" w:hAnsi="宋体" w:hint="eastAsia"/>
                <w:b/>
                <w:bCs/>
                <w:color w:val="000000"/>
                <w:sz w:val="20"/>
                <w:szCs w:val="20"/>
              </w:rPr>
              <w:t>40</w:t>
            </w:r>
          </w:p>
        </w:tc>
        <w:tc>
          <w:tcPr>
            <w:tcW w:w="665" w:type="pct"/>
            <w:vAlign w:val="center"/>
          </w:tcPr>
          <w:p w:rsidR="00E46CD6" w:rsidRDefault="002336CD">
            <w:pPr>
              <w:spacing w:line="240" w:lineRule="auto"/>
              <w:ind w:firstLineChars="0" w:firstLine="0"/>
              <w:jc w:val="center"/>
              <w:rPr>
                <w:rFonts w:ascii="宋体" w:eastAsia="宋体" w:hAnsi="宋体"/>
                <w:b/>
                <w:bCs/>
                <w:color w:val="000000"/>
                <w:sz w:val="20"/>
                <w:szCs w:val="20"/>
              </w:rPr>
            </w:pPr>
            <w:r>
              <w:rPr>
                <w:rFonts w:ascii="宋体" w:eastAsia="宋体" w:hAnsi="宋体" w:hint="eastAsia"/>
                <w:b/>
                <w:bCs/>
                <w:color w:val="000000"/>
                <w:sz w:val="20"/>
                <w:szCs w:val="20"/>
              </w:rPr>
              <w:t>34.00</w:t>
            </w:r>
          </w:p>
        </w:tc>
        <w:tc>
          <w:tcPr>
            <w:tcW w:w="665" w:type="pct"/>
            <w:vAlign w:val="center"/>
          </w:tcPr>
          <w:p w:rsidR="00E46CD6" w:rsidRDefault="002336CD">
            <w:pPr>
              <w:spacing w:line="240" w:lineRule="auto"/>
              <w:ind w:firstLineChars="0" w:firstLine="0"/>
              <w:jc w:val="center"/>
              <w:rPr>
                <w:rFonts w:ascii="宋体" w:eastAsia="宋体" w:hAnsi="宋体"/>
                <w:b/>
                <w:bCs/>
                <w:color w:val="000000"/>
                <w:sz w:val="20"/>
                <w:szCs w:val="20"/>
              </w:rPr>
            </w:pPr>
            <w:r>
              <w:rPr>
                <w:rFonts w:ascii="宋体" w:eastAsia="宋体" w:hAnsi="宋体" w:hint="eastAsia"/>
                <w:b/>
                <w:bCs/>
                <w:color w:val="000000"/>
                <w:kern w:val="0"/>
                <w:sz w:val="20"/>
                <w:szCs w:val="20"/>
              </w:rPr>
              <w:t>85.00%</w:t>
            </w:r>
          </w:p>
        </w:tc>
      </w:tr>
    </w:tbl>
    <w:p w:rsidR="00E46CD6" w:rsidRDefault="00E46CD6">
      <w:pPr>
        <w:ind w:firstLine="400"/>
        <w:rPr>
          <w:sz w:val="20"/>
          <w:szCs w:val="20"/>
        </w:rPr>
      </w:pPr>
    </w:p>
    <w:p w:rsidR="00E46CD6" w:rsidRDefault="002336CD">
      <w:pPr>
        <w:pStyle w:val="ab"/>
        <w:outlineLvl w:val="2"/>
      </w:pPr>
      <w:r>
        <w:rPr>
          <w:rFonts w:hint="eastAsia"/>
        </w:rPr>
        <w:t>1.产出数量</w:t>
      </w:r>
    </w:p>
    <w:p w:rsidR="00E46CD6" w:rsidRDefault="002336CD">
      <w:pPr>
        <w:pStyle w:val="ab"/>
      </w:pPr>
      <w:r>
        <w:rPr>
          <w:rFonts w:hint="eastAsia"/>
        </w:rPr>
        <w:t>根据《项目绩效目标申报表》，2023年度项目计划完成台基厂大街2号院5000平方米的修缮改造工作。截至2023年8月2日项目完工，项目共完成了5500平方米的修缮改造工作，具体包括：一是室外工程1800平方米，破除原损坏混凝土路面，浇筑混凝土，对整体混凝土路面进行铣刨，挖除土方、新做雨水口、更换井盖，新做路缘石、沥青混凝土面层等；二是室内工程3700平方米，对所有室内区域的装修包括墙面、地面、地砖、门窗、隔墙、灯饰、线缆、开关、车库车位标识标线，对茶水间、卫生间、中庭地砖、女儿墙、防水拆除新做等，屋顶防水以及建筑外立面灯饰及真石拆除新做等。但是，评价发现室外路面未施划道路及停车位标线，项目实际产出存在一定不足。</w:t>
      </w:r>
    </w:p>
    <w:p w:rsidR="00E46CD6" w:rsidRDefault="002336CD">
      <w:pPr>
        <w:pStyle w:val="ab"/>
        <w:outlineLvl w:val="2"/>
      </w:pPr>
      <w:r>
        <w:rPr>
          <w:rFonts w:hint="eastAsia"/>
        </w:rPr>
        <w:t>2.产出质量</w:t>
      </w:r>
    </w:p>
    <w:p w:rsidR="00E46CD6" w:rsidRDefault="002336CD">
      <w:pPr>
        <w:pStyle w:val="ab"/>
        <w:rPr>
          <w:iCs/>
        </w:rPr>
      </w:pPr>
      <w:r>
        <w:rPr>
          <w:rFonts w:hint="eastAsia"/>
        </w:rPr>
        <w:t>2</w:t>
      </w:r>
      <w:r>
        <w:t>02</w:t>
      </w:r>
      <w:r>
        <w:rPr>
          <w:rFonts w:hint="eastAsia"/>
        </w:rPr>
        <w:t>3年项目计划竣工验收合格率100%、有关维修改造工作符合行业质量要求。项目实施过程中，施工期间各岗位</w:t>
      </w:r>
      <w:r>
        <w:rPr>
          <w:rFonts w:hint="eastAsia"/>
          <w:iCs/>
        </w:rPr>
        <w:t>施工人员均持证上岗、签订安全责任书，按照有关施工规范标准操作，施工期间安全责任事故率0%。2023年8月5日，台基厂大街办公区管理处组织监理单位、施工单位及台基厂大街2号院使用单位进行验收，验收合格率100%，项目总体产出质量较好。但评价发现，项目验收主体不齐全、缺少设计单位盖章签字，竣工时间空白，未按照室内室外两个单位工程进行验收，验收规范性有待进一步加强。</w:t>
      </w:r>
    </w:p>
    <w:p w:rsidR="00E46CD6" w:rsidRDefault="002336CD">
      <w:pPr>
        <w:pStyle w:val="ab"/>
        <w:outlineLvl w:val="2"/>
      </w:pPr>
      <w:r>
        <w:rPr>
          <w:rFonts w:hint="eastAsia"/>
        </w:rPr>
        <w:t>3.产出时效</w:t>
      </w:r>
    </w:p>
    <w:p w:rsidR="00E46CD6" w:rsidRDefault="002336CD">
      <w:pPr>
        <w:pStyle w:val="ab"/>
      </w:pPr>
      <w:r>
        <w:rPr>
          <w:rFonts w:hint="eastAsia"/>
        </w:rPr>
        <w:t>根据《项目绩效目标申报表》，项目计划于2023年11月前完成年度内维修改造工作。项目于2023年4月12日经竞争性磋商确定施工单位，4月20日签订《2023年台基厂2号院维修改造经费房屋修缮采购项目施工合同》，8月2日完工、5日完成竣工验收。项目于年度内完成全部修缮改造工作，与绩效指标相比无明显偏差。但评价发现，项目施工进度及付款进度均与合同约定存在差异。根据合同约定，项目计划于4月25日开工、7月23日完工，实际于5月13日开工、8月2日完工，存在拖期情况；依据合同中专用条款第17.3.3条补充条款，项目应于合同签订后30天内，支付工程预付款，竣工验收前支付至合同价款总额的80%，验收合格后支付剩余的20%尾款，实际于6月28日（合同签订日4月20日后2个月）支付工程预付款118.592069万元，并于9月27日支付项目其余款项243.648563万元，预付款支付时间存在滞后情况，且进度款与尾款合并支付。</w:t>
      </w:r>
    </w:p>
    <w:p w:rsidR="00E46CD6" w:rsidRDefault="002336CD">
      <w:pPr>
        <w:pStyle w:val="ab"/>
        <w:outlineLvl w:val="2"/>
      </w:pPr>
      <w:r>
        <w:rPr>
          <w:rFonts w:hint="eastAsia"/>
        </w:rPr>
        <w:t>4.产出成本</w:t>
      </w:r>
    </w:p>
    <w:p w:rsidR="00E46CD6" w:rsidRDefault="002336CD">
      <w:pPr>
        <w:ind w:firstLine="640"/>
        <w:rPr>
          <w:rFonts w:ascii="仿宋_GB2312" w:hAnsi="宋体"/>
          <w:szCs w:val="32"/>
        </w:rPr>
      </w:pPr>
      <w:r>
        <w:rPr>
          <w:rFonts w:ascii="仿宋_GB2312" w:hAnsi="宋体" w:hint="eastAsia"/>
          <w:bCs/>
          <w:szCs w:val="32"/>
        </w:rPr>
        <w:t>项目采取了一定的成本节约措施，有效控制了项目成本。表现为：</w:t>
      </w:r>
      <w:r>
        <w:rPr>
          <w:rFonts w:ascii="仿宋_GB2312" w:hAnsi="宋体" w:hint="eastAsia"/>
          <w:szCs w:val="32"/>
        </w:rPr>
        <w:t>一是</w:t>
      </w:r>
      <w:r>
        <w:rPr>
          <w:rFonts w:ascii="仿宋_GB2312" w:hAnsi="宋体" w:hint="eastAsia"/>
          <w:bCs/>
          <w:szCs w:val="32"/>
        </w:rPr>
        <w:t>聘请了专业第三方机构开展了预算评审工作，对市政工程、装饰工程等各项工程费用以及安全文明施工费、施工垃圾场外运输和消纳费、税金等进行审核，送审金额376.45万元、审定金额368.68万元，审减比例2.06%；</w:t>
      </w:r>
      <w:r>
        <w:rPr>
          <w:rFonts w:ascii="仿宋_GB2312" w:hAnsi="宋体" w:hint="eastAsia"/>
          <w:szCs w:val="32"/>
        </w:rPr>
        <w:t>二是项目委托招标代理机构采用竞争性磋商的采购方式确定施工单位，提高了采购工作效率，充分发挥市场竞争机制，确定成交金额362.24万元，通过竞争性磋商节约资金6.44万元。但评价发现，项目成本控制尚存在进一步提升空间，主要是项目前期对修缮改造内容的调研摸底不充分，未制定不同的修缮改造方案并比较不同技术路线的经济性；项目虽通过预算评审、竞争性磋商节约了一定资金，但项目未制定实施方案、未制定明确的成本控制措施。</w:t>
      </w:r>
    </w:p>
    <w:p w:rsidR="00E46CD6" w:rsidRDefault="002336CD">
      <w:pPr>
        <w:ind w:firstLine="640"/>
        <w:outlineLvl w:val="1"/>
        <w:rPr>
          <w:rFonts w:ascii="楷体_GB2312" w:eastAsia="楷体_GB2312"/>
          <w:color w:val="000000"/>
          <w:szCs w:val="32"/>
        </w:rPr>
      </w:pPr>
      <w:bookmarkStart w:id="53" w:name="_Toc19225"/>
      <w:r>
        <w:rPr>
          <w:rFonts w:ascii="楷体_GB2312" w:eastAsia="楷体_GB2312" w:hint="eastAsia"/>
          <w:color w:val="000000"/>
          <w:szCs w:val="32"/>
        </w:rPr>
        <w:t>（四）项目效益情况</w:t>
      </w:r>
      <w:bookmarkEnd w:id="53"/>
    </w:p>
    <w:p w:rsidR="00E46CD6" w:rsidRDefault="002336CD">
      <w:pPr>
        <w:ind w:firstLine="640"/>
        <w:rPr>
          <w:rFonts w:ascii="仿宋_GB2312" w:hAnsi="仿宋_GB2312" w:cs="仿宋_GB2312"/>
        </w:rPr>
      </w:pPr>
      <w:r>
        <w:rPr>
          <w:rFonts w:ascii="仿宋_GB2312" w:hAnsi="仿宋_GB2312" w:cs="仿宋_GB2312" w:hint="eastAsia"/>
        </w:rPr>
        <w:t>2023年度，通过对室外、室内两部分实施修缮改造工程，有效提升了台基厂大街2号院办公环境，办公楼使用寿命有所延长，进驻单位及有关工作人员总体较为满意。但工程完工后台基厂大街2号院的运行使用情况不清晰、安全隐患消除程度不明确，未开展满意度调查</w:t>
      </w:r>
      <w:r>
        <w:rPr>
          <w:rFonts w:ascii="仿宋_GB2312" w:hAnsi="仿宋_GB2312" w:cs="仿宋_GB2312" w:hint="eastAsia"/>
          <w:szCs w:val="32"/>
        </w:rPr>
        <w:t>。</w:t>
      </w:r>
      <w:r>
        <w:rPr>
          <w:rFonts w:ascii="仿宋_GB2312" w:hAnsi="仿宋_GB2312" w:cs="仿宋_GB2312" w:hint="eastAsia"/>
          <w:iCs/>
        </w:rPr>
        <w:t>效益指标分值30.00分，得分24.67分，得分率82.23%（</w:t>
      </w:r>
      <w:r>
        <w:rPr>
          <w:rFonts w:ascii="仿宋_GB2312" w:hAnsi="仿宋_GB2312" w:cs="仿宋_GB2312" w:hint="eastAsia"/>
          <w:bCs/>
          <w:iCs/>
          <w:kern w:val="0"/>
        </w:rPr>
        <w:t>见表7</w:t>
      </w:r>
      <w:r>
        <w:rPr>
          <w:rFonts w:ascii="仿宋_GB2312" w:hAnsi="仿宋_GB2312" w:cs="仿宋_GB2312" w:hint="eastAsia"/>
          <w:iCs/>
        </w:rPr>
        <w:t>）。</w:t>
      </w:r>
    </w:p>
    <w:p w:rsidR="00E46CD6" w:rsidRDefault="002336CD">
      <w:pPr>
        <w:ind w:firstLineChars="0" w:firstLine="0"/>
        <w:jc w:val="center"/>
        <w:rPr>
          <w:rFonts w:ascii="黑体" w:eastAsia="黑体" w:hAnsi="黑体"/>
          <w:iCs/>
          <w:sz w:val="28"/>
          <w:szCs w:val="28"/>
        </w:rPr>
      </w:pPr>
      <w:r>
        <w:rPr>
          <w:rFonts w:ascii="黑体" w:eastAsia="黑体" w:hAnsi="黑体" w:hint="eastAsia"/>
          <w:iCs/>
          <w:sz w:val="28"/>
          <w:szCs w:val="28"/>
        </w:rPr>
        <w:t>表7：效益指标设定及评分情况表</w:t>
      </w:r>
    </w:p>
    <w:tbl>
      <w:tblPr>
        <w:tblW w:w="5000" w:type="pct"/>
        <w:jc w:val="center"/>
        <w:tblLook w:val="04A0"/>
      </w:tblPr>
      <w:tblGrid>
        <w:gridCol w:w="1280"/>
        <w:gridCol w:w="1283"/>
        <w:gridCol w:w="3537"/>
        <w:gridCol w:w="872"/>
        <w:gridCol w:w="805"/>
        <w:gridCol w:w="1283"/>
      </w:tblGrid>
      <w:tr w:rsidR="00E46CD6">
        <w:trPr>
          <w:trHeight w:val="397"/>
          <w:jc w:val="center"/>
        </w:trPr>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一级指标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19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三级指标</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分值</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得分率</w:t>
            </w:r>
          </w:p>
        </w:tc>
      </w:tr>
      <w:tr w:rsidR="00E46CD6">
        <w:trPr>
          <w:trHeight w:val="397"/>
          <w:jc w:val="center"/>
        </w:trPr>
        <w:tc>
          <w:tcPr>
            <w:tcW w:w="7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效益</w:t>
            </w:r>
          </w:p>
        </w:tc>
        <w:tc>
          <w:tcPr>
            <w:tcW w:w="7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项目效益</w:t>
            </w:r>
          </w:p>
        </w:tc>
        <w:tc>
          <w:tcPr>
            <w:tcW w:w="19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项目实施效益</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color w:val="000000"/>
                <w:kern w:val="0"/>
                <w:sz w:val="20"/>
                <w:szCs w:val="20"/>
              </w:rPr>
              <w:t>1</w:t>
            </w:r>
            <w:r>
              <w:rPr>
                <w:rFonts w:ascii="宋体" w:eastAsia="宋体" w:hAnsi="宋体" w:cs="宋体" w:hint="eastAsia"/>
                <w:color w:val="000000"/>
                <w:kern w:val="0"/>
                <w:sz w:val="20"/>
                <w:szCs w:val="20"/>
              </w:rPr>
              <w:t>6.</w:t>
            </w:r>
            <w:r>
              <w:rPr>
                <w:rFonts w:ascii="宋体" w:eastAsia="宋体" w:hAnsi="宋体" w:cs="宋体"/>
                <w:color w:val="000000"/>
                <w:kern w:val="0"/>
                <w:sz w:val="20"/>
                <w:szCs w:val="20"/>
              </w:rPr>
              <w:t>67</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color w:val="000000"/>
                <w:kern w:val="0"/>
                <w:sz w:val="20"/>
                <w:szCs w:val="20"/>
              </w:rPr>
              <w:t>8</w:t>
            </w:r>
            <w:r>
              <w:rPr>
                <w:rFonts w:ascii="宋体" w:eastAsia="宋体" w:hAnsi="宋体" w:cs="宋体" w:hint="eastAsia"/>
                <w:color w:val="000000"/>
                <w:kern w:val="0"/>
                <w:sz w:val="20"/>
                <w:szCs w:val="20"/>
              </w:rPr>
              <w:t>3.</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5%</w:t>
            </w:r>
          </w:p>
        </w:tc>
      </w:tr>
      <w:tr w:rsidR="00E46CD6">
        <w:trPr>
          <w:trHeight w:val="397"/>
          <w:jc w:val="center"/>
        </w:trPr>
        <w:tc>
          <w:tcPr>
            <w:tcW w:w="707" w:type="pct"/>
            <w:vMerge/>
            <w:tcBorders>
              <w:top w:val="single" w:sz="4" w:space="0" w:color="000000"/>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center"/>
              <w:rPr>
                <w:rFonts w:ascii="宋体" w:eastAsia="宋体" w:hAnsi="宋体" w:cs="宋体"/>
                <w:color w:val="000000"/>
                <w:kern w:val="0"/>
                <w:sz w:val="20"/>
                <w:szCs w:val="20"/>
              </w:rPr>
            </w:pPr>
          </w:p>
        </w:tc>
        <w:tc>
          <w:tcPr>
            <w:tcW w:w="708" w:type="pct"/>
            <w:vMerge/>
            <w:tcBorders>
              <w:top w:val="single" w:sz="4" w:space="0" w:color="000000"/>
              <w:left w:val="single" w:sz="4" w:space="0" w:color="000000"/>
              <w:bottom w:val="single" w:sz="4" w:space="0" w:color="000000"/>
              <w:right w:val="single" w:sz="4" w:space="0" w:color="000000"/>
            </w:tcBorders>
            <w:vAlign w:val="center"/>
          </w:tcPr>
          <w:p w:rsidR="00E46CD6" w:rsidRDefault="00E46CD6">
            <w:pPr>
              <w:widowControl/>
              <w:spacing w:line="240" w:lineRule="auto"/>
              <w:ind w:firstLineChars="0" w:firstLine="0"/>
              <w:jc w:val="center"/>
              <w:rPr>
                <w:rFonts w:ascii="宋体" w:eastAsia="宋体" w:hAnsi="宋体" w:cs="宋体"/>
                <w:color w:val="000000"/>
                <w:kern w:val="0"/>
                <w:sz w:val="20"/>
                <w:szCs w:val="20"/>
              </w:rPr>
            </w:pPr>
          </w:p>
        </w:tc>
        <w:tc>
          <w:tcPr>
            <w:tcW w:w="19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满意度</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r>
              <w:rPr>
                <w:rFonts w:ascii="宋体" w:eastAsia="宋体" w:hAnsi="宋体" w:cs="宋体"/>
                <w:color w:val="000000"/>
                <w:kern w:val="0"/>
                <w:sz w:val="20"/>
                <w:szCs w:val="20"/>
              </w:rPr>
              <w:t>0</w:t>
            </w:r>
            <w:r>
              <w:rPr>
                <w:rFonts w:ascii="宋体" w:eastAsia="宋体" w:hAnsi="宋体" w:cs="宋体" w:hint="eastAsia"/>
                <w:color w:val="000000"/>
                <w:kern w:val="0"/>
                <w:sz w:val="20"/>
                <w:szCs w:val="20"/>
              </w:rPr>
              <w:t>0</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80.00%</w:t>
            </w:r>
          </w:p>
        </w:tc>
      </w:tr>
      <w:tr w:rsidR="00E46CD6">
        <w:trPr>
          <w:trHeight w:val="397"/>
          <w:jc w:val="center"/>
        </w:trPr>
        <w:tc>
          <w:tcPr>
            <w:tcW w:w="3367"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30</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b/>
                <w:bCs/>
                <w:color w:val="000000"/>
                <w:kern w:val="0"/>
                <w:sz w:val="20"/>
                <w:szCs w:val="20"/>
              </w:rPr>
              <w:t>2</w:t>
            </w:r>
            <w:r>
              <w:rPr>
                <w:rFonts w:ascii="宋体" w:eastAsia="宋体" w:hAnsi="宋体" w:cs="宋体" w:hint="eastAsia"/>
                <w:b/>
                <w:bCs/>
                <w:color w:val="000000"/>
                <w:kern w:val="0"/>
                <w:sz w:val="20"/>
                <w:szCs w:val="20"/>
              </w:rPr>
              <w:t>4.67</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46CD6" w:rsidRDefault="002336CD">
            <w:pPr>
              <w:widowControl/>
              <w:spacing w:line="240" w:lineRule="auto"/>
              <w:ind w:firstLineChars="0" w:firstLine="0"/>
              <w:jc w:val="center"/>
              <w:rPr>
                <w:rFonts w:ascii="宋体" w:eastAsia="宋体" w:hAnsi="宋体" w:cs="宋体"/>
                <w:b/>
                <w:bCs/>
                <w:color w:val="000000"/>
                <w:kern w:val="0"/>
                <w:sz w:val="20"/>
                <w:szCs w:val="20"/>
              </w:rPr>
            </w:pPr>
            <w:r>
              <w:rPr>
                <w:rFonts w:ascii="宋体" w:eastAsia="宋体" w:hAnsi="宋体" w:cs="宋体"/>
                <w:b/>
                <w:bCs/>
                <w:color w:val="000000"/>
                <w:kern w:val="0"/>
                <w:sz w:val="20"/>
                <w:szCs w:val="20"/>
              </w:rPr>
              <w:t>8</w:t>
            </w:r>
            <w:r>
              <w:rPr>
                <w:rFonts w:ascii="宋体" w:eastAsia="宋体" w:hAnsi="宋体" w:cs="宋体" w:hint="eastAsia"/>
                <w:b/>
                <w:bCs/>
                <w:color w:val="000000"/>
                <w:kern w:val="0"/>
                <w:sz w:val="20"/>
                <w:szCs w:val="20"/>
              </w:rPr>
              <w:t>2.23%</w:t>
            </w:r>
          </w:p>
        </w:tc>
      </w:tr>
    </w:tbl>
    <w:p w:rsidR="00E46CD6" w:rsidRDefault="00E46CD6">
      <w:pPr>
        <w:pStyle w:val="ab"/>
        <w:ind w:firstLine="400"/>
        <w:rPr>
          <w:sz w:val="20"/>
          <w:szCs w:val="20"/>
        </w:rPr>
      </w:pPr>
    </w:p>
    <w:p w:rsidR="00E46CD6" w:rsidRDefault="002336CD">
      <w:pPr>
        <w:pStyle w:val="ab"/>
        <w:outlineLvl w:val="2"/>
      </w:pPr>
      <w:r>
        <w:t>1</w:t>
      </w:r>
      <w:r>
        <w:rPr>
          <w:rFonts w:hint="eastAsia"/>
        </w:rPr>
        <w:t>.项目实施效益</w:t>
      </w:r>
    </w:p>
    <w:p w:rsidR="00E46CD6" w:rsidRDefault="002336CD">
      <w:pPr>
        <w:ind w:firstLine="640"/>
        <w:rPr>
          <w:rFonts w:ascii="仿宋_GB2312" w:hAnsi="宋体"/>
          <w:bCs/>
          <w:szCs w:val="32"/>
        </w:rPr>
      </w:pPr>
      <w:r>
        <w:rPr>
          <w:rFonts w:ascii="仿宋_GB2312" w:hAnsi="宋体" w:hint="eastAsia"/>
          <w:bCs/>
          <w:szCs w:val="32"/>
        </w:rPr>
        <w:t>项目通过修缮改造工程的实施，有效解决了“室外路面破损空鼓、排水不畅，室内屋面漏水、墙面脱落、门窗封闭不严”的问题，整体办公环境得到改善；在台基厂大街2号院已使用三十余年的基础上，进一步延长了其使用寿命。但工程完工后台基厂大街2号院的运行使用情况不清晰、安全隐患消除程度不明确，办公楼使用寿命延长年限缺少评估分析，效益佐证资料仅有施工前后对比照片，项目效益有待进一步挖掘。</w:t>
      </w:r>
    </w:p>
    <w:p w:rsidR="00E46CD6" w:rsidRDefault="002336CD">
      <w:pPr>
        <w:pStyle w:val="ab"/>
        <w:outlineLvl w:val="2"/>
      </w:pPr>
      <w:r>
        <w:t>2</w:t>
      </w:r>
      <w:r>
        <w:rPr>
          <w:rFonts w:hint="eastAsia"/>
        </w:rPr>
        <w:t>.满意度</w:t>
      </w:r>
    </w:p>
    <w:p w:rsidR="00E46CD6" w:rsidRDefault="002336CD">
      <w:pPr>
        <w:ind w:firstLine="640"/>
        <w:rPr>
          <w:rFonts w:ascii="仿宋_GB2312" w:hAnsi="宋体"/>
          <w:szCs w:val="32"/>
        </w:rPr>
      </w:pPr>
      <w:r>
        <w:rPr>
          <w:rFonts w:ascii="仿宋_GB2312" w:hAnsi="宋体" w:hint="eastAsia"/>
          <w:szCs w:val="32"/>
        </w:rPr>
        <w:t>项目通过开展修缮改造工作较好的提升了台基厂办公区2号院的办公、居住环境，办公楼使用期限得到了延长，受到了有关入驻单位的好评，不存在收到投诉的情况。但项目未开展专门的满意度问卷调查，不利于后续办公用房保障水平的提升和改进。</w:t>
      </w:r>
    </w:p>
    <w:p w:rsidR="00E46CD6" w:rsidRDefault="002336CD">
      <w:pPr>
        <w:ind w:firstLine="640"/>
        <w:outlineLvl w:val="0"/>
        <w:rPr>
          <w:rFonts w:ascii="黑体" w:eastAsia="黑体"/>
          <w:szCs w:val="32"/>
        </w:rPr>
      </w:pPr>
      <w:bookmarkStart w:id="54" w:name="_Toc10616"/>
      <w:r>
        <w:rPr>
          <w:rFonts w:ascii="黑体" w:eastAsia="黑体" w:hint="eastAsia"/>
          <w:szCs w:val="32"/>
        </w:rPr>
        <w:t>五、主要经验及做法、存在的问题及原因</w:t>
      </w:r>
      <w:bookmarkEnd w:id="54"/>
    </w:p>
    <w:p w:rsidR="00E46CD6" w:rsidRDefault="002336CD">
      <w:pPr>
        <w:ind w:firstLine="640"/>
        <w:outlineLvl w:val="1"/>
        <w:rPr>
          <w:rFonts w:ascii="楷体_GB2312" w:eastAsia="楷体_GB2312"/>
          <w:szCs w:val="32"/>
        </w:rPr>
      </w:pPr>
      <w:bookmarkStart w:id="55" w:name="_Toc35588783"/>
      <w:bookmarkStart w:id="56" w:name="_Toc10597"/>
      <w:bookmarkStart w:id="57" w:name="_Toc35588425"/>
      <w:r>
        <w:rPr>
          <w:rFonts w:ascii="楷体_GB2312" w:eastAsia="楷体_GB2312" w:hint="eastAsia"/>
          <w:szCs w:val="32"/>
        </w:rPr>
        <w:t>（一）主要经验及做法</w:t>
      </w:r>
      <w:bookmarkEnd w:id="55"/>
      <w:bookmarkEnd w:id="56"/>
      <w:bookmarkEnd w:id="57"/>
    </w:p>
    <w:p w:rsidR="00E46CD6" w:rsidRDefault="002336CD">
      <w:pPr>
        <w:ind w:firstLine="640"/>
        <w:rPr>
          <w:rFonts w:ascii="仿宋_GB2312" w:hAnsi="仿宋_GB2312" w:cs="仿宋_GB2312"/>
          <w:szCs w:val="32"/>
          <w:highlight w:val="yellow"/>
        </w:rPr>
      </w:pPr>
      <w:r>
        <w:rPr>
          <w:rFonts w:ascii="仿宋_GB2312" w:hAnsi="仿宋_GB2312" w:cs="仿宋_GB2312" w:hint="eastAsia"/>
        </w:rPr>
        <w:t>项目申报阶段，项目主管部门市机关事务管理中心统一聘请专业评审机构对项目预算进行评审，提升项目经济性；项目采购环节，采用竞争性磋商的方式，</w:t>
      </w:r>
      <w:r>
        <w:rPr>
          <w:rFonts w:ascii="仿宋_GB2312" w:hAnsi="仿宋_GB2312" w:cs="仿宋_GB2312" w:hint="eastAsia"/>
          <w:szCs w:val="32"/>
        </w:rPr>
        <w:t>提高了采购工作效率，充分发挥市场竞争机制，一定程度上节约项目资金。施工期间，台基厂大街办公区管理处高度重视，积极沟通，多次</w:t>
      </w:r>
      <w:r>
        <w:rPr>
          <w:rFonts w:ascii="仿宋_GB2312" w:hAnsi="仿宋_GB2312" w:cs="仿宋_GB2312" w:hint="eastAsia"/>
        </w:rPr>
        <w:t>召开工作协调会，科学合理制定施工方案，通过合理规划车位、搭建临时宿舍等措施，最大限度减少施工期间带来的不便。同时，项目利用原市委办公厅搬迁后的窗帘进行改良，替代2号院的旧窗帘，实现“充分利旧，节约资源”，提高财政资金使用效益。</w:t>
      </w:r>
    </w:p>
    <w:p w:rsidR="00E46CD6" w:rsidRDefault="002336CD">
      <w:pPr>
        <w:ind w:firstLine="640"/>
        <w:outlineLvl w:val="1"/>
        <w:rPr>
          <w:rFonts w:ascii="楷体_GB2312" w:eastAsia="楷体_GB2312"/>
          <w:szCs w:val="32"/>
        </w:rPr>
      </w:pPr>
      <w:bookmarkStart w:id="58" w:name="_Toc35588784"/>
      <w:bookmarkStart w:id="59" w:name="_Toc35588426"/>
      <w:bookmarkStart w:id="60" w:name="_Toc26223"/>
      <w:r>
        <w:rPr>
          <w:rFonts w:ascii="楷体_GB2312" w:eastAsia="楷体_GB2312" w:hint="eastAsia"/>
          <w:szCs w:val="32"/>
        </w:rPr>
        <w:t>（二）存在的主要问题及原因分析</w:t>
      </w:r>
      <w:bookmarkEnd w:id="58"/>
      <w:bookmarkEnd w:id="59"/>
      <w:bookmarkEnd w:id="60"/>
    </w:p>
    <w:p w:rsidR="00E46CD6" w:rsidRDefault="002336CD">
      <w:pPr>
        <w:pStyle w:val="ab"/>
        <w:outlineLvl w:val="2"/>
      </w:pPr>
      <w:r>
        <w:rPr>
          <w:rFonts w:hint="eastAsia"/>
        </w:rPr>
        <w:t>1</w:t>
      </w:r>
      <w:r>
        <w:t>.</w:t>
      </w:r>
      <w:r>
        <w:rPr>
          <w:rFonts w:hint="eastAsia"/>
        </w:rPr>
        <w:t>项目前期需求调研不够充分，预算编制科学性有待增强</w:t>
      </w:r>
    </w:p>
    <w:p w:rsidR="00E46CD6" w:rsidRDefault="002336CD">
      <w:pPr>
        <w:pStyle w:val="ab"/>
        <w:adjustRightInd/>
        <w:rPr>
          <w:highlight w:val="yellow"/>
        </w:rPr>
      </w:pPr>
      <w:r>
        <w:rPr>
          <w:rFonts w:hint="eastAsia"/>
        </w:rPr>
        <w:t>项目缺乏日常维护记录和必要的检测、鉴定、评估报告，未对拟修缮的办公用房损坏程度和修缮工作量进行充分调研，未见前期施工设计文件依据，未对项目技术方案的可行性以及费用的经济性进行综合论证，立项程序有待进一步规范，预算编制依据充分性需要加强。</w:t>
      </w:r>
    </w:p>
    <w:p w:rsidR="00E46CD6" w:rsidRDefault="002336CD">
      <w:pPr>
        <w:pStyle w:val="ab"/>
        <w:outlineLvl w:val="2"/>
      </w:pPr>
      <w:r>
        <w:t>2</w:t>
      </w:r>
      <w:r>
        <w:rPr>
          <w:rFonts w:hint="eastAsia"/>
        </w:rPr>
        <w:t>.项目执行过程规范性存在不足，过程管理需要强化</w:t>
      </w:r>
    </w:p>
    <w:p w:rsidR="00E46CD6" w:rsidRDefault="002336CD">
      <w:pPr>
        <w:pStyle w:val="ab"/>
      </w:pPr>
      <w:r>
        <w:rPr>
          <w:rFonts w:hint="eastAsia"/>
        </w:rPr>
        <w:t>一是项目单位缺少对修缮改造类工程项目的资金管理办法，对房屋修缮类资金的制度范围、支持方式、支出标准、预算管理、监督方式等缺少制度约束；二是项目未严格按照</w:t>
      </w:r>
      <w:r>
        <w:rPr>
          <w:rFonts w:hint="eastAsia"/>
          <w:iCs/>
        </w:rPr>
        <w:t>《北京市机关事务管理中心办公用房维修管理办法》及合同执行，执行过程规范性存在不足。</w:t>
      </w:r>
    </w:p>
    <w:p w:rsidR="00E46CD6" w:rsidRDefault="002336CD">
      <w:pPr>
        <w:ind w:firstLine="640"/>
        <w:outlineLvl w:val="2"/>
        <w:rPr>
          <w:rFonts w:ascii="仿宋_GB2312"/>
          <w:szCs w:val="32"/>
        </w:rPr>
      </w:pPr>
      <w:r>
        <w:rPr>
          <w:rFonts w:ascii="仿宋_GB2312" w:hint="eastAsia"/>
        </w:rPr>
        <w:t>3</w:t>
      </w:r>
      <w:r>
        <w:rPr>
          <w:rFonts w:ascii="仿宋_GB2312"/>
        </w:rPr>
        <w:t>.</w:t>
      </w:r>
      <w:r>
        <w:rPr>
          <w:rFonts w:ascii="仿宋_GB2312" w:hint="eastAsia"/>
          <w:szCs w:val="32"/>
        </w:rPr>
        <w:t>项目效益有待进一步挖掘，满意度调查有待开展</w:t>
      </w:r>
    </w:p>
    <w:p w:rsidR="00E46CD6" w:rsidRDefault="002336CD">
      <w:pPr>
        <w:ind w:firstLine="640"/>
        <w:rPr>
          <w:rFonts w:ascii="仿宋_GB2312" w:hAnsi="仿宋_GB2312" w:cs="仿宋_GB2312"/>
        </w:rPr>
      </w:pPr>
      <w:r>
        <w:rPr>
          <w:rFonts w:ascii="仿宋_GB2312" w:hAnsi="仿宋_GB2312" w:cs="仿宋_GB2312" w:hint="eastAsia"/>
        </w:rPr>
        <w:t>一是项目绩效呈现不够充分，工程完工后台基厂大街2号院的运行使用情况缺少分析整理，安全隐患消除程度不明确，</w:t>
      </w:r>
      <w:r>
        <w:rPr>
          <w:rFonts w:ascii="仿宋_GB2312" w:hAnsi="仿宋_GB2312" w:cs="仿宋_GB2312" w:hint="eastAsia"/>
          <w:bCs/>
          <w:szCs w:val="32"/>
        </w:rPr>
        <w:t>办公楼使用寿命延长年限缺少评估分析，项目</w:t>
      </w:r>
      <w:r>
        <w:rPr>
          <w:rFonts w:ascii="仿宋_GB2312" w:hAnsi="仿宋_GB2312" w:cs="仿宋_GB2312" w:hint="eastAsia"/>
          <w:szCs w:val="32"/>
        </w:rPr>
        <w:t>效益发挥、挖掘程度有待进一步提升。二是项目未开展满意度调查，不利于后续办公用房保障水平的提升和改进。</w:t>
      </w:r>
    </w:p>
    <w:p w:rsidR="00E46CD6" w:rsidRDefault="002336CD">
      <w:pPr>
        <w:ind w:firstLine="640"/>
        <w:outlineLvl w:val="0"/>
        <w:rPr>
          <w:rFonts w:ascii="黑体" w:eastAsia="黑体"/>
          <w:szCs w:val="32"/>
        </w:rPr>
      </w:pPr>
      <w:bookmarkStart w:id="61" w:name="_Toc35588785"/>
      <w:bookmarkStart w:id="62" w:name="_Toc3857"/>
      <w:bookmarkStart w:id="63" w:name="_Toc35588427"/>
      <w:r>
        <w:rPr>
          <w:rFonts w:ascii="黑体" w:eastAsia="黑体" w:hint="eastAsia"/>
          <w:szCs w:val="32"/>
        </w:rPr>
        <w:t>六、有关建议</w:t>
      </w:r>
      <w:bookmarkEnd w:id="61"/>
      <w:bookmarkEnd w:id="62"/>
      <w:bookmarkEnd w:id="63"/>
    </w:p>
    <w:p w:rsidR="00E46CD6" w:rsidRDefault="002336CD">
      <w:pPr>
        <w:ind w:firstLine="640"/>
        <w:outlineLvl w:val="1"/>
        <w:rPr>
          <w:rFonts w:ascii="楷体_GB2312" w:eastAsia="楷体_GB2312"/>
          <w:szCs w:val="32"/>
        </w:rPr>
      </w:pPr>
      <w:bookmarkStart w:id="64" w:name="_Toc29530"/>
      <w:r>
        <w:rPr>
          <w:rFonts w:ascii="楷体_GB2312" w:eastAsia="楷体_GB2312" w:hint="eastAsia"/>
          <w:szCs w:val="32"/>
        </w:rPr>
        <w:t>（一）加强项目前期规划设计，充分进行调研论证</w:t>
      </w:r>
      <w:bookmarkEnd w:id="64"/>
    </w:p>
    <w:p w:rsidR="00E46CD6" w:rsidRDefault="002336CD">
      <w:pPr>
        <w:ind w:firstLine="640"/>
      </w:pPr>
      <w:r>
        <w:rPr>
          <w:rFonts w:hint="eastAsia"/>
        </w:rPr>
        <w:t>建议项目单位对拟修缮的办公用房基底情况、入驻单位和有关工作人员的需求情况进行充分调研，合理评估办公用房损坏程度及隐患情况，在此基础上</w:t>
      </w:r>
      <w:r>
        <w:rPr>
          <w:rFonts w:ascii="仿宋_GB2312"/>
        </w:rPr>
        <w:t>参考国家和行业的技术规范标准</w:t>
      </w:r>
      <w:r>
        <w:rPr>
          <w:rFonts w:hint="eastAsia"/>
        </w:rPr>
        <w:t>进行施工设计，并对工作量进行预估，依据设计方案进行详细的预算测算，提升预算编制科学性。</w:t>
      </w:r>
    </w:p>
    <w:p w:rsidR="00E46CD6" w:rsidRDefault="002336CD">
      <w:pPr>
        <w:ind w:firstLine="640"/>
        <w:outlineLvl w:val="1"/>
        <w:rPr>
          <w:rFonts w:ascii="楷体_GB2312" w:eastAsia="楷体_GB2312"/>
          <w:szCs w:val="32"/>
        </w:rPr>
      </w:pPr>
      <w:bookmarkStart w:id="65" w:name="_Toc29603"/>
      <w:r>
        <w:rPr>
          <w:rFonts w:ascii="楷体_GB2312" w:eastAsia="楷体_GB2312" w:hint="eastAsia"/>
          <w:szCs w:val="32"/>
        </w:rPr>
        <w:t>（二）加强项目执行过程监督，严格按照合同约定实施项目</w:t>
      </w:r>
      <w:bookmarkEnd w:id="65"/>
    </w:p>
    <w:p w:rsidR="00E46CD6" w:rsidRDefault="002336CD">
      <w:pPr>
        <w:ind w:firstLine="640"/>
        <w:rPr>
          <w:rFonts w:ascii="仿宋_GB2312"/>
        </w:rPr>
      </w:pPr>
      <w:r>
        <w:rPr>
          <w:rFonts w:ascii="仿宋_GB2312" w:hint="eastAsia"/>
        </w:rPr>
        <w:t>建议项目单位严格按照合同约定及计划进度开工、施工，对于施工期限延长、付款方式变更等情况及时签订补充协议；完工后及时开展项目竣工决算审计工作，确保项目实施过程规范。物业保障处作为</w:t>
      </w:r>
      <w:r>
        <w:rPr>
          <w:rFonts w:ascii="仿宋_GB2312" w:hint="eastAsia"/>
          <w:iCs/>
          <w:szCs w:val="32"/>
        </w:rPr>
        <w:t>大中修和维修改造责任单位，应对部门整体维修改造工作进行充分规划，在修缮改造工作中加强对项目实施的督促、监管。</w:t>
      </w:r>
    </w:p>
    <w:p w:rsidR="00E46CD6" w:rsidRDefault="002336CD">
      <w:pPr>
        <w:ind w:firstLine="640"/>
        <w:outlineLvl w:val="1"/>
        <w:rPr>
          <w:rFonts w:ascii="楷体_GB2312" w:eastAsia="楷体_GB2312"/>
          <w:szCs w:val="32"/>
        </w:rPr>
      </w:pPr>
      <w:bookmarkStart w:id="66" w:name="_Toc21577"/>
      <w:r>
        <w:rPr>
          <w:rFonts w:ascii="楷体_GB2312" w:eastAsia="楷体_GB2312" w:hint="eastAsia"/>
          <w:szCs w:val="32"/>
        </w:rPr>
        <w:t>（三）充分挖掘项目实施效益，强化满意度调查分析</w:t>
      </w:r>
      <w:bookmarkEnd w:id="66"/>
    </w:p>
    <w:p w:rsidR="00E46CD6" w:rsidRPr="00D50417" w:rsidRDefault="002336CD" w:rsidP="00D50417">
      <w:pPr>
        <w:ind w:firstLine="640"/>
        <w:rPr>
          <w:rFonts w:ascii="仿宋_GB2312" w:hAnsi="仿宋_GB2312" w:cs="仿宋_GB2312"/>
        </w:rPr>
      </w:pPr>
      <w:r>
        <w:rPr>
          <w:rFonts w:ascii="仿宋_GB2312" w:hAnsi="仿宋_GB2312" w:cs="仿宋_GB2312" w:hint="eastAsia"/>
        </w:rPr>
        <w:t>一是充分挖掘项目实施效益直观支撑数据或典型示例，做好台基厂大街2号院修缮改造前后运行状况对比，加强对办公楼建筑安全等级和使用寿命的评估统计。二是及时开展满意度调查工作，围绕入驻单位及工作人员的日常办公需求满足程度、办公楼建筑安全水平、办公条件改善程度等方面进行调查统计，充分吸收意见建议，为后续办公条件改善及保障指明方向。</w:t>
      </w:r>
    </w:p>
    <w:sectPr w:rsidR="00E46CD6" w:rsidRPr="00D50417" w:rsidSect="00E46CD6">
      <w:headerReference w:type="default" r:id="rId16"/>
      <w:footerReference w:type="default" r:id="rId17"/>
      <w:pgSz w:w="11906" w:h="16838"/>
      <w:pgMar w:top="2098" w:right="1531" w:bottom="1985" w:left="1531" w:header="851" w:footer="1134" w:gutter="0"/>
      <w:pgNumType w:start="1"/>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B14" w:rsidRDefault="00894B14">
      <w:pPr>
        <w:spacing w:line="240" w:lineRule="auto"/>
        <w:ind w:firstLine="640"/>
      </w:pPr>
      <w:r>
        <w:separator/>
      </w:r>
    </w:p>
  </w:endnote>
  <w:endnote w:type="continuationSeparator" w:id="1">
    <w:p w:rsidR="00894B14" w:rsidRDefault="00894B14">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8"/>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8"/>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8765779"/>
    </w:sdtPr>
    <w:sdtEndPr>
      <w:rPr>
        <w:rFonts w:ascii="宋体" w:hAnsi="宋体"/>
        <w:sz w:val="28"/>
        <w:szCs w:val="28"/>
      </w:rPr>
    </w:sdtEndPr>
    <w:sdtContent>
      <w:p w:rsidR="00E46CD6" w:rsidRDefault="004C54DB">
        <w:pPr>
          <w:pStyle w:val="a8"/>
          <w:ind w:firstLine="360"/>
          <w:jc w:val="center"/>
          <w:rPr>
            <w:rFonts w:ascii="宋体" w:hAnsi="宋体"/>
            <w:sz w:val="28"/>
            <w:szCs w:val="28"/>
          </w:rPr>
        </w:pPr>
        <w:r>
          <w:rPr>
            <w:rFonts w:ascii="宋体" w:hAnsi="宋体"/>
            <w:sz w:val="28"/>
            <w:szCs w:val="28"/>
          </w:rPr>
          <w:fldChar w:fldCharType="begin"/>
        </w:r>
        <w:r w:rsidR="002336CD">
          <w:rPr>
            <w:rFonts w:ascii="宋体" w:hAnsi="宋体"/>
            <w:sz w:val="28"/>
            <w:szCs w:val="28"/>
          </w:rPr>
          <w:instrText>PAGE   \* MERGEFORMAT</w:instrText>
        </w:r>
        <w:r>
          <w:rPr>
            <w:rFonts w:ascii="宋体" w:hAnsi="宋体"/>
            <w:sz w:val="28"/>
            <w:szCs w:val="28"/>
          </w:rPr>
          <w:fldChar w:fldCharType="separate"/>
        </w:r>
        <w:r w:rsidR="00171A4A" w:rsidRPr="00171A4A">
          <w:rPr>
            <w:rFonts w:ascii="宋体" w:hAnsi="宋体"/>
            <w:noProof/>
            <w:sz w:val="28"/>
            <w:szCs w:val="28"/>
            <w:lang w:val="zh-CN"/>
          </w:rPr>
          <w:t>I</w:t>
        </w:r>
        <w:r>
          <w:rPr>
            <w:rFonts w:ascii="宋体" w:hAnsi="宋体"/>
            <w:sz w:val="28"/>
            <w:szCs w:val="28"/>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4C54DB">
    <w:pPr>
      <w:pStyle w:val="a8"/>
      <w:ind w:firstLine="560"/>
      <w:jc w:val="center"/>
      <w:rPr>
        <w:rFonts w:ascii="宋体" w:hAnsi="宋体"/>
        <w:sz w:val="28"/>
        <w:szCs w:val="28"/>
      </w:rPr>
    </w:pPr>
    <w:r>
      <w:rPr>
        <w:rFonts w:ascii="宋体" w:hAnsi="宋体"/>
        <w:sz w:val="28"/>
        <w:szCs w:val="28"/>
      </w:rPr>
      <w:fldChar w:fldCharType="begin"/>
    </w:r>
    <w:r w:rsidR="002336CD">
      <w:rPr>
        <w:rFonts w:ascii="宋体" w:hAnsi="宋体"/>
        <w:sz w:val="28"/>
        <w:szCs w:val="28"/>
      </w:rPr>
      <w:instrText>PAGE   \* MERGEFORMAT</w:instrText>
    </w:r>
    <w:r>
      <w:rPr>
        <w:rFonts w:ascii="宋体" w:hAnsi="宋体"/>
        <w:sz w:val="28"/>
        <w:szCs w:val="28"/>
      </w:rPr>
      <w:fldChar w:fldCharType="separate"/>
    </w:r>
    <w:r w:rsidR="00171A4A" w:rsidRPr="00171A4A">
      <w:rPr>
        <w:rFonts w:ascii="宋体" w:hAnsi="宋体"/>
        <w:noProof/>
        <w:sz w:val="28"/>
        <w:szCs w:val="28"/>
        <w:lang w:val="zh-CN"/>
      </w:rPr>
      <w:t>I</w:t>
    </w:r>
    <w:r>
      <w:rPr>
        <w:rFonts w:ascii="宋体" w:hAnsi="宋体"/>
        <w:sz w:val="28"/>
        <w:szCs w:val="2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4C54DB" w:rsidP="00171A4A">
    <w:pPr>
      <w:pStyle w:val="a8"/>
      <w:ind w:firstLine="560"/>
      <w:jc w:val="center"/>
      <w:rPr>
        <w:rFonts w:ascii="宋体" w:hAnsi="宋体"/>
        <w:sz w:val="28"/>
        <w:szCs w:val="28"/>
      </w:rPr>
    </w:pPr>
    <w:r>
      <w:rPr>
        <w:rFonts w:ascii="宋体" w:hAnsi="宋体"/>
        <w:sz w:val="28"/>
        <w:szCs w:val="28"/>
      </w:rPr>
      <w:fldChar w:fldCharType="begin"/>
    </w:r>
    <w:r w:rsidR="002336CD">
      <w:rPr>
        <w:rFonts w:ascii="宋体" w:hAnsi="宋体"/>
        <w:sz w:val="28"/>
        <w:szCs w:val="28"/>
      </w:rPr>
      <w:instrText>PAGE   \* MERGEFORMAT</w:instrText>
    </w:r>
    <w:r>
      <w:rPr>
        <w:rFonts w:ascii="宋体" w:hAnsi="宋体"/>
        <w:sz w:val="28"/>
        <w:szCs w:val="28"/>
      </w:rPr>
      <w:fldChar w:fldCharType="separate"/>
    </w:r>
    <w:r w:rsidR="00D50417" w:rsidRPr="00D50417">
      <w:rPr>
        <w:rFonts w:ascii="宋体" w:hAnsi="宋体"/>
        <w:noProof/>
        <w:sz w:val="28"/>
        <w:szCs w:val="28"/>
        <w:lang w:val="zh-CN"/>
      </w:rPr>
      <w:t>22</w:t>
    </w:r>
    <w:r>
      <w:rPr>
        <w:rFonts w:ascii="宋体" w:hAnsi="宋体"/>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B14" w:rsidRDefault="00894B14">
      <w:pPr>
        <w:ind w:firstLine="640"/>
      </w:pPr>
      <w:r>
        <w:separator/>
      </w:r>
    </w:p>
  </w:footnote>
  <w:footnote w:type="continuationSeparator" w:id="1">
    <w:p w:rsidR="00894B14" w:rsidRDefault="00894B1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9"/>
      <w:pBdr>
        <w:bottom w:val="none" w:sz="0" w:space="0"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9"/>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9"/>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D6" w:rsidRDefault="00E46CD6">
    <w:pPr>
      <w:pStyle w:val="a9"/>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C5567"/>
    <w:multiLevelType w:val="multilevel"/>
    <w:tmpl w:val="260C5567"/>
    <w:lvl w:ilvl="0">
      <w:start w:val="1"/>
      <w:numFmt w:val="decimal"/>
      <w:pStyle w:val="CharCharCharChar"/>
      <w:lvlText w:val="（%1）"/>
      <w:lvlJc w:val="left"/>
      <w:pPr>
        <w:tabs>
          <w:tab w:val="left" w:pos="3750"/>
        </w:tabs>
        <w:ind w:left="3750" w:hanging="2250"/>
      </w:pPr>
      <w:rPr>
        <w:rFonts w:hint="eastAsia"/>
      </w:rPr>
    </w:lvl>
    <w:lvl w:ilvl="1">
      <w:start w:val="1"/>
      <w:numFmt w:val="lowerLetter"/>
      <w:lvlText w:val="%2)"/>
      <w:lvlJc w:val="left"/>
      <w:pPr>
        <w:tabs>
          <w:tab w:val="left" w:pos="2340"/>
        </w:tabs>
        <w:ind w:left="2340" w:hanging="420"/>
      </w:pPr>
    </w:lvl>
    <w:lvl w:ilvl="2">
      <w:start w:val="1"/>
      <w:numFmt w:val="lowerRoman"/>
      <w:lvlText w:val="%3."/>
      <w:lvlJc w:val="right"/>
      <w:pPr>
        <w:tabs>
          <w:tab w:val="left" w:pos="2760"/>
        </w:tabs>
        <w:ind w:left="2760" w:hanging="420"/>
      </w:pPr>
    </w:lvl>
    <w:lvl w:ilvl="3">
      <w:start w:val="1"/>
      <w:numFmt w:val="decimal"/>
      <w:lvlText w:val="%4."/>
      <w:lvlJc w:val="left"/>
      <w:pPr>
        <w:tabs>
          <w:tab w:val="left" w:pos="3180"/>
        </w:tabs>
        <w:ind w:left="3180" w:hanging="420"/>
      </w:pPr>
    </w:lvl>
    <w:lvl w:ilvl="4">
      <w:start w:val="1"/>
      <w:numFmt w:val="lowerLetter"/>
      <w:lvlText w:val="%5)"/>
      <w:lvlJc w:val="left"/>
      <w:pPr>
        <w:tabs>
          <w:tab w:val="left" w:pos="3600"/>
        </w:tabs>
        <w:ind w:left="3600" w:hanging="420"/>
      </w:pPr>
    </w:lvl>
    <w:lvl w:ilvl="5">
      <w:start w:val="1"/>
      <w:numFmt w:val="lowerRoman"/>
      <w:lvlText w:val="%6."/>
      <w:lvlJc w:val="right"/>
      <w:pPr>
        <w:tabs>
          <w:tab w:val="left" w:pos="4020"/>
        </w:tabs>
        <w:ind w:left="4020" w:hanging="420"/>
      </w:pPr>
    </w:lvl>
    <w:lvl w:ilvl="6">
      <w:start w:val="1"/>
      <w:numFmt w:val="decimal"/>
      <w:lvlText w:val="%7."/>
      <w:lvlJc w:val="left"/>
      <w:pPr>
        <w:tabs>
          <w:tab w:val="left" w:pos="4440"/>
        </w:tabs>
        <w:ind w:left="4440" w:hanging="420"/>
      </w:pPr>
    </w:lvl>
    <w:lvl w:ilvl="7">
      <w:start w:val="1"/>
      <w:numFmt w:val="lowerLetter"/>
      <w:lvlText w:val="%8)"/>
      <w:lvlJc w:val="left"/>
      <w:pPr>
        <w:tabs>
          <w:tab w:val="left" w:pos="4860"/>
        </w:tabs>
        <w:ind w:left="4860" w:hanging="420"/>
      </w:pPr>
    </w:lvl>
    <w:lvl w:ilvl="8">
      <w:start w:val="1"/>
      <w:numFmt w:val="lowerRoman"/>
      <w:lvlText w:val="%9."/>
      <w:lvlJc w:val="right"/>
      <w:pPr>
        <w:tabs>
          <w:tab w:val="left" w:pos="5280"/>
        </w:tabs>
        <w:ind w:left="5280" w:hanging="420"/>
      </w:pPr>
    </w:lvl>
  </w:abstractNum>
  <w:abstractNum w:abstractNumId="1">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efaultTabStop w:val="420"/>
  <w:drawingGridHorizontalSpacing w:val="160"/>
  <w:drawingGridVerticalSpacing w:val="435"/>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QwYWQwOWJjOGU5YTI1M2FmMTUzN2RmMTdiZjU4MmQifQ=="/>
  </w:docVars>
  <w:rsids>
    <w:rsidRoot w:val="00F57F82"/>
    <w:rsid w:val="0000081C"/>
    <w:rsid w:val="0000098C"/>
    <w:rsid w:val="00001685"/>
    <w:rsid w:val="00001D0F"/>
    <w:rsid w:val="00002C2D"/>
    <w:rsid w:val="00002C5A"/>
    <w:rsid w:val="00002CC0"/>
    <w:rsid w:val="00002F82"/>
    <w:rsid w:val="00003574"/>
    <w:rsid w:val="00003747"/>
    <w:rsid w:val="00004340"/>
    <w:rsid w:val="00004C81"/>
    <w:rsid w:val="00005B90"/>
    <w:rsid w:val="00006622"/>
    <w:rsid w:val="000072FC"/>
    <w:rsid w:val="0000744F"/>
    <w:rsid w:val="0000747F"/>
    <w:rsid w:val="000074AD"/>
    <w:rsid w:val="000076DC"/>
    <w:rsid w:val="000078EC"/>
    <w:rsid w:val="000101E1"/>
    <w:rsid w:val="00010672"/>
    <w:rsid w:val="00010B3E"/>
    <w:rsid w:val="00012B36"/>
    <w:rsid w:val="00013124"/>
    <w:rsid w:val="0001370A"/>
    <w:rsid w:val="00013EAB"/>
    <w:rsid w:val="00013F58"/>
    <w:rsid w:val="00013F8C"/>
    <w:rsid w:val="0001492F"/>
    <w:rsid w:val="000149D1"/>
    <w:rsid w:val="00015A76"/>
    <w:rsid w:val="00016ABE"/>
    <w:rsid w:val="00016D27"/>
    <w:rsid w:val="00017F51"/>
    <w:rsid w:val="00020029"/>
    <w:rsid w:val="000213A1"/>
    <w:rsid w:val="000216C4"/>
    <w:rsid w:val="0002189E"/>
    <w:rsid w:val="00021E18"/>
    <w:rsid w:val="00021ED0"/>
    <w:rsid w:val="0002366A"/>
    <w:rsid w:val="00023F0A"/>
    <w:rsid w:val="000241C3"/>
    <w:rsid w:val="000242B0"/>
    <w:rsid w:val="0002468E"/>
    <w:rsid w:val="00024F81"/>
    <w:rsid w:val="00025093"/>
    <w:rsid w:val="000271F8"/>
    <w:rsid w:val="0002730A"/>
    <w:rsid w:val="00027C84"/>
    <w:rsid w:val="00030673"/>
    <w:rsid w:val="00030FB0"/>
    <w:rsid w:val="00031381"/>
    <w:rsid w:val="0003163B"/>
    <w:rsid w:val="00031780"/>
    <w:rsid w:val="00035EDA"/>
    <w:rsid w:val="00037010"/>
    <w:rsid w:val="000415FF"/>
    <w:rsid w:val="00041CE9"/>
    <w:rsid w:val="00042B8E"/>
    <w:rsid w:val="00043732"/>
    <w:rsid w:val="00043918"/>
    <w:rsid w:val="00043AA3"/>
    <w:rsid w:val="000441E7"/>
    <w:rsid w:val="00044971"/>
    <w:rsid w:val="00044D72"/>
    <w:rsid w:val="000452CF"/>
    <w:rsid w:val="00045B2D"/>
    <w:rsid w:val="00045E51"/>
    <w:rsid w:val="00047BCF"/>
    <w:rsid w:val="00050994"/>
    <w:rsid w:val="00050BAA"/>
    <w:rsid w:val="000519CA"/>
    <w:rsid w:val="00052086"/>
    <w:rsid w:val="000520E6"/>
    <w:rsid w:val="0005287B"/>
    <w:rsid w:val="00052B17"/>
    <w:rsid w:val="00053D6E"/>
    <w:rsid w:val="00054081"/>
    <w:rsid w:val="0005425C"/>
    <w:rsid w:val="0005474C"/>
    <w:rsid w:val="00054CE1"/>
    <w:rsid w:val="000556F2"/>
    <w:rsid w:val="00056D62"/>
    <w:rsid w:val="00056FC2"/>
    <w:rsid w:val="00057B5A"/>
    <w:rsid w:val="00060703"/>
    <w:rsid w:val="000615C6"/>
    <w:rsid w:val="00061A0B"/>
    <w:rsid w:val="00061C33"/>
    <w:rsid w:val="00062CE2"/>
    <w:rsid w:val="00062E1B"/>
    <w:rsid w:val="00064BB0"/>
    <w:rsid w:val="00065850"/>
    <w:rsid w:val="00065870"/>
    <w:rsid w:val="000658D5"/>
    <w:rsid w:val="00065E66"/>
    <w:rsid w:val="000675D6"/>
    <w:rsid w:val="00067FB0"/>
    <w:rsid w:val="0007065B"/>
    <w:rsid w:val="000718A5"/>
    <w:rsid w:val="000723DA"/>
    <w:rsid w:val="0007527B"/>
    <w:rsid w:val="000754B1"/>
    <w:rsid w:val="000760FB"/>
    <w:rsid w:val="000767CA"/>
    <w:rsid w:val="00077DCA"/>
    <w:rsid w:val="000808E8"/>
    <w:rsid w:val="00080B65"/>
    <w:rsid w:val="00081914"/>
    <w:rsid w:val="00082002"/>
    <w:rsid w:val="000821DD"/>
    <w:rsid w:val="000822D8"/>
    <w:rsid w:val="00082839"/>
    <w:rsid w:val="000829E3"/>
    <w:rsid w:val="00082DB6"/>
    <w:rsid w:val="00083161"/>
    <w:rsid w:val="00083816"/>
    <w:rsid w:val="000842B1"/>
    <w:rsid w:val="000848FD"/>
    <w:rsid w:val="00084DD7"/>
    <w:rsid w:val="000852F0"/>
    <w:rsid w:val="000856A3"/>
    <w:rsid w:val="00085A5B"/>
    <w:rsid w:val="00085EDC"/>
    <w:rsid w:val="00086A59"/>
    <w:rsid w:val="00086CB1"/>
    <w:rsid w:val="0008739E"/>
    <w:rsid w:val="0008763A"/>
    <w:rsid w:val="000905C5"/>
    <w:rsid w:val="0009145A"/>
    <w:rsid w:val="000914D8"/>
    <w:rsid w:val="00091586"/>
    <w:rsid w:val="00091D75"/>
    <w:rsid w:val="00092357"/>
    <w:rsid w:val="000923FE"/>
    <w:rsid w:val="00092C3B"/>
    <w:rsid w:val="00093CA4"/>
    <w:rsid w:val="00094965"/>
    <w:rsid w:val="00094980"/>
    <w:rsid w:val="00094C8C"/>
    <w:rsid w:val="000956FC"/>
    <w:rsid w:val="00095E80"/>
    <w:rsid w:val="000971A3"/>
    <w:rsid w:val="00097B95"/>
    <w:rsid w:val="000A081E"/>
    <w:rsid w:val="000A0DAA"/>
    <w:rsid w:val="000A1DE3"/>
    <w:rsid w:val="000A1EFB"/>
    <w:rsid w:val="000A39A6"/>
    <w:rsid w:val="000A3EAC"/>
    <w:rsid w:val="000A4E44"/>
    <w:rsid w:val="000A516E"/>
    <w:rsid w:val="000A6177"/>
    <w:rsid w:val="000A6B9B"/>
    <w:rsid w:val="000B0673"/>
    <w:rsid w:val="000B1B2D"/>
    <w:rsid w:val="000B1CEB"/>
    <w:rsid w:val="000B1D16"/>
    <w:rsid w:val="000B1E3F"/>
    <w:rsid w:val="000B1E65"/>
    <w:rsid w:val="000B2DDE"/>
    <w:rsid w:val="000B2E20"/>
    <w:rsid w:val="000B3751"/>
    <w:rsid w:val="000B4A72"/>
    <w:rsid w:val="000B51CA"/>
    <w:rsid w:val="000B5506"/>
    <w:rsid w:val="000B7F12"/>
    <w:rsid w:val="000C01A4"/>
    <w:rsid w:val="000C022B"/>
    <w:rsid w:val="000C071A"/>
    <w:rsid w:val="000C0FAB"/>
    <w:rsid w:val="000C20E0"/>
    <w:rsid w:val="000C276F"/>
    <w:rsid w:val="000C2824"/>
    <w:rsid w:val="000C3213"/>
    <w:rsid w:val="000C354F"/>
    <w:rsid w:val="000C3C52"/>
    <w:rsid w:val="000C4567"/>
    <w:rsid w:val="000C4F5A"/>
    <w:rsid w:val="000C5740"/>
    <w:rsid w:val="000C58F2"/>
    <w:rsid w:val="000C651A"/>
    <w:rsid w:val="000C6BF5"/>
    <w:rsid w:val="000C780D"/>
    <w:rsid w:val="000C7F6C"/>
    <w:rsid w:val="000D05ED"/>
    <w:rsid w:val="000D08D5"/>
    <w:rsid w:val="000D0AFB"/>
    <w:rsid w:val="000D0F03"/>
    <w:rsid w:val="000D102B"/>
    <w:rsid w:val="000D1224"/>
    <w:rsid w:val="000D143D"/>
    <w:rsid w:val="000D24DE"/>
    <w:rsid w:val="000D2BC3"/>
    <w:rsid w:val="000D3D0F"/>
    <w:rsid w:val="000D4374"/>
    <w:rsid w:val="000D461A"/>
    <w:rsid w:val="000D4739"/>
    <w:rsid w:val="000D4B45"/>
    <w:rsid w:val="000D4C3C"/>
    <w:rsid w:val="000D63FC"/>
    <w:rsid w:val="000D6814"/>
    <w:rsid w:val="000D6862"/>
    <w:rsid w:val="000E01DA"/>
    <w:rsid w:val="000E0595"/>
    <w:rsid w:val="000E0CCC"/>
    <w:rsid w:val="000E0D61"/>
    <w:rsid w:val="000E257C"/>
    <w:rsid w:val="000E25AE"/>
    <w:rsid w:val="000E3F25"/>
    <w:rsid w:val="000E4587"/>
    <w:rsid w:val="000E4817"/>
    <w:rsid w:val="000E4AFF"/>
    <w:rsid w:val="000E638C"/>
    <w:rsid w:val="000E66F0"/>
    <w:rsid w:val="000E6FE5"/>
    <w:rsid w:val="000E7966"/>
    <w:rsid w:val="000F11F9"/>
    <w:rsid w:val="000F12F8"/>
    <w:rsid w:val="000F1CFA"/>
    <w:rsid w:val="000F289D"/>
    <w:rsid w:val="000F484F"/>
    <w:rsid w:val="000F536F"/>
    <w:rsid w:val="000F585B"/>
    <w:rsid w:val="000F5911"/>
    <w:rsid w:val="000F6975"/>
    <w:rsid w:val="000F71E4"/>
    <w:rsid w:val="000F790B"/>
    <w:rsid w:val="001002B5"/>
    <w:rsid w:val="001003B7"/>
    <w:rsid w:val="00100979"/>
    <w:rsid w:val="001019CE"/>
    <w:rsid w:val="00101F7F"/>
    <w:rsid w:val="001023EF"/>
    <w:rsid w:val="00102429"/>
    <w:rsid w:val="0010259D"/>
    <w:rsid w:val="00102A23"/>
    <w:rsid w:val="00103A6C"/>
    <w:rsid w:val="00103D24"/>
    <w:rsid w:val="00104491"/>
    <w:rsid w:val="00104634"/>
    <w:rsid w:val="001047E0"/>
    <w:rsid w:val="00105A32"/>
    <w:rsid w:val="00105D80"/>
    <w:rsid w:val="001065C8"/>
    <w:rsid w:val="001066AA"/>
    <w:rsid w:val="00106BC1"/>
    <w:rsid w:val="001079FA"/>
    <w:rsid w:val="00111B13"/>
    <w:rsid w:val="00111C5D"/>
    <w:rsid w:val="0011201B"/>
    <w:rsid w:val="0011226B"/>
    <w:rsid w:val="00112CA9"/>
    <w:rsid w:val="00112FE0"/>
    <w:rsid w:val="00113A3E"/>
    <w:rsid w:val="001144BB"/>
    <w:rsid w:val="00114E06"/>
    <w:rsid w:val="00115148"/>
    <w:rsid w:val="00115220"/>
    <w:rsid w:val="00115905"/>
    <w:rsid w:val="00115CF4"/>
    <w:rsid w:val="0011618B"/>
    <w:rsid w:val="0011657F"/>
    <w:rsid w:val="00117689"/>
    <w:rsid w:val="001201FE"/>
    <w:rsid w:val="001203B5"/>
    <w:rsid w:val="00121226"/>
    <w:rsid w:val="001217FC"/>
    <w:rsid w:val="001224F7"/>
    <w:rsid w:val="001224FA"/>
    <w:rsid w:val="00122506"/>
    <w:rsid w:val="00122762"/>
    <w:rsid w:val="001229E6"/>
    <w:rsid w:val="00122C02"/>
    <w:rsid w:val="00122E3D"/>
    <w:rsid w:val="00123683"/>
    <w:rsid w:val="0012377B"/>
    <w:rsid w:val="00123E26"/>
    <w:rsid w:val="00124090"/>
    <w:rsid w:val="001246FD"/>
    <w:rsid w:val="0012490A"/>
    <w:rsid w:val="00125CAF"/>
    <w:rsid w:val="00126129"/>
    <w:rsid w:val="00127596"/>
    <w:rsid w:val="00127DFF"/>
    <w:rsid w:val="00130C1B"/>
    <w:rsid w:val="00130DEC"/>
    <w:rsid w:val="00131373"/>
    <w:rsid w:val="00131979"/>
    <w:rsid w:val="00131A76"/>
    <w:rsid w:val="00131EE3"/>
    <w:rsid w:val="001324B3"/>
    <w:rsid w:val="00132E10"/>
    <w:rsid w:val="00133EED"/>
    <w:rsid w:val="001344D3"/>
    <w:rsid w:val="0013524B"/>
    <w:rsid w:val="001354FF"/>
    <w:rsid w:val="00136180"/>
    <w:rsid w:val="001361AF"/>
    <w:rsid w:val="001363F1"/>
    <w:rsid w:val="00136606"/>
    <w:rsid w:val="00136BF4"/>
    <w:rsid w:val="0013709E"/>
    <w:rsid w:val="001379D6"/>
    <w:rsid w:val="00137E65"/>
    <w:rsid w:val="00141ECA"/>
    <w:rsid w:val="0014265B"/>
    <w:rsid w:val="00143349"/>
    <w:rsid w:val="001436F7"/>
    <w:rsid w:val="001439B8"/>
    <w:rsid w:val="00143DFF"/>
    <w:rsid w:val="00145EC0"/>
    <w:rsid w:val="00145FDE"/>
    <w:rsid w:val="0014617D"/>
    <w:rsid w:val="00146208"/>
    <w:rsid w:val="001462D2"/>
    <w:rsid w:val="0014692E"/>
    <w:rsid w:val="00146BED"/>
    <w:rsid w:val="00147809"/>
    <w:rsid w:val="00150867"/>
    <w:rsid w:val="00150DF9"/>
    <w:rsid w:val="00151066"/>
    <w:rsid w:val="0015189F"/>
    <w:rsid w:val="001519F3"/>
    <w:rsid w:val="001527C4"/>
    <w:rsid w:val="0015345B"/>
    <w:rsid w:val="00153C75"/>
    <w:rsid w:val="001540C2"/>
    <w:rsid w:val="00154944"/>
    <w:rsid w:val="001556E5"/>
    <w:rsid w:val="0015642C"/>
    <w:rsid w:val="00156927"/>
    <w:rsid w:val="001605E0"/>
    <w:rsid w:val="00160608"/>
    <w:rsid w:val="00160B5D"/>
    <w:rsid w:val="00160E57"/>
    <w:rsid w:val="00161569"/>
    <w:rsid w:val="00162694"/>
    <w:rsid w:val="00162ED6"/>
    <w:rsid w:val="0016323B"/>
    <w:rsid w:val="001635C2"/>
    <w:rsid w:val="001639DB"/>
    <w:rsid w:val="00164992"/>
    <w:rsid w:val="0016667C"/>
    <w:rsid w:val="001667CE"/>
    <w:rsid w:val="001702F3"/>
    <w:rsid w:val="00171180"/>
    <w:rsid w:val="001711CA"/>
    <w:rsid w:val="001711F8"/>
    <w:rsid w:val="001719A7"/>
    <w:rsid w:val="00171A4A"/>
    <w:rsid w:val="00171AAB"/>
    <w:rsid w:val="001722CF"/>
    <w:rsid w:val="0017287A"/>
    <w:rsid w:val="00172AFA"/>
    <w:rsid w:val="00172BBC"/>
    <w:rsid w:val="0017377A"/>
    <w:rsid w:val="0017468B"/>
    <w:rsid w:val="0017523B"/>
    <w:rsid w:val="0017546F"/>
    <w:rsid w:val="001754D2"/>
    <w:rsid w:val="00175F07"/>
    <w:rsid w:val="00176617"/>
    <w:rsid w:val="00176961"/>
    <w:rsid w:val="001779A3"/>
    <w:rsid w:val="001805AD"/>
    <w:rsid w:val="00180AD0"/>
    <w:rsid w:val="00182A2C"/>
    <w:rsid w:val="00182DE9"/>
    <w:rsid w:val="0018352F"/>
    <w:rsid w:val="00183EFF"/>
    <w:rsid w:val="0018407E"/>
    <w:rsid w:val="00184506"/>
    <w:rsid w:val="00184B61"/>
    <w:rsid w:val="00184BF3"/>
    <w:rsid w:val="001859F6"/>
    <w:rsid w:val="00186338"/>
    <w:rsid w:val="001867D3"/>
    <w:rsid w:val="00187083"/>
    <w:rsid w:val="001878CD"/>
    <w:rsid w:val="001879FA"/>
    <w:rsid w:val="00190C26"/>
    <w:rsid w:val="00190C2A"/>
    <w:rsid w:val="00190D9F"/>
    <w:rsid w:val="00191052"/>
    <w:rsid w:val="00191F38"/>
    <w:rsid w:val="001920B7"/>
    <w:rsid w:val="00192211"/>
    <w:rsid w:val="00192276"/>
    <w:rsid w:val="0019254C"/>
    <w:rsid w:val="00193650"/>
    <w:rsid w:val="00194BD7"/>
    <w:rsid w:val="00196157"/>
    <w:rsid w:val="001963CF"/>
    <w:rsid w:val="001967E8"/>
    <w:rsid w:val="0019688E"/>
    <w:rsid w:val="00196AD7"/>
    <w:rsid w:val="001A0223"/>
    <w:rsid w:val="001A169D"/>
    <w:rsid w:val="001A1979"/>
    <w:rsid w:val="001A1FEB"/>
    <w:rsid w:val="001A22E6"/>
    <w:rsid w:val="001A26E7"/>
    <w:rsid w:val="001A2D64"/>
    <w:rsid w:val="001A42EB"/>
    <w:rsid w:val="001A5D39"/>
    <w:rsid w:val="001A6919"/>
    <w:rsid w:val="001A6C5C"/>
    <w:rsid w:val="001A6F37"/>
    <w:rsid w:val="001A6FD3"/>
    <w:rsid w:val="001B0648"/>
    <w:rsid w:val="001B097C"/>
    <w:rsid w:val="001B231B"/>
    <w:rsid w:val="001B37C3"/>
    <w:rsid w:val="001B4472"/>
    <w:rsid w:val="001B5406"/>
    <w:rsid w:val="001B555C"/>
    <w:rsid w:val="001B5CEF"/>
    <w:rsid w:val="001B6A4B"/>
    <w:rsid w:val="001B6BFD"/>
    <w:rsid w:val="001B74A9"/>
    <w:rsid w:val="001B771C"/>
    <w:rsid w:val="001B7D23"/>
    <w:rsid w:val="001B7E25"/>
    <w:rsid w:val="001C02B6"/>
    <w:rsid w:val="001C0B2C"/>
    <w:rsid w:val="001C0F29"/>
    <w:rsid w:val="001C10A4"/>
    <w:rsid w:val="001C1625"/>
    <w:rsid w:val="001C2862"/>
    <w:rsid w:val="001C3103"/>
    <w:rsid w:val="001C4B4E"/>
    <w:rsid w:val="001C4D01"/>
    <w:rsid w:val="001C6B9E"/>
    <w:rsid w:val="001C71C5"/>
    <w:rsid w:val="001D0145"/>
    <w:rsid w:val="001D068A"/>
    <w:rsid w:val="001D103F"/>
    <w:rsid w:val="001D1AA1"/>
    <w:rsid w:val="001D2B23"/>
    <w:rsid w:val="001D2B83"/>
    <w:rsid w:val="001D376A"/>
    <w:rsid w:val="001D37F5"/>
    <w:rsid w:val="001D4F45"/>
    <w:rsid w:val="001D4FED"/>
    <w:rsid w:val="001D601D"/>
    <w:rsid w:val="001D6115"/>
    <w:rsid w:val="001D65A0"/>
    <w:rsid w:val="001E08A0"/>
    <w:rsid w:val="001E0CB2"/>
    <w:rsid w:val="001E1227"/>
    <w:rsid w:val="001E12F7"/>
    <w:rsid w:val="001E167A"/>
    <w:rsid w:val="001E37AB"/>
    <w:rsid w:val="001E39EA"/>
    <w:rsid w:val="001E3ECF"/>
    <w:rsid w:val="001E4396"/>
    <w:rsid w:val="001E47B8"/>
    <w:rsid w:val="001E4AFF"/>
    <w:rsid w:val="001E4B9A"/>
    <w:rsid w:val="001E4BF3"/>
    <w:rsid w:val="001E5E51"/>
    <w:rsid w:val="001E7241"/>
    <w:rsid w:val="001E7C50"/>
    <w:rsid w:val="001F0331"/>
    <w:rsid w:val="001F0B6A"/>
    <w:rsid w:val="001F1A35"/>
    <w:rsid w:val="001F3119"/>
    <w:rsid w:val="001F356B"/>
    <w:rsid w:val="001F424C"/>
    <w:rsid w:val="001F4638"/>
    <w:rsid w:val="001F4A44"/>
    <w:rsid w:val="001F7E5D"/>
    <w:rsid w:val="001F7FFD"/>
    <w:rsid w:val="002007D8"/>
    <w:rsid w:val="00200EE7"/>
    <w:rsid w:val="002015B9"/>
    <w:rsid w:val="0020286F"/>
    <w:rsid w:val="00202B74"/>
    <w:rsid w:val="002046C0"/>
    <w:rsid w:val="002054C3"/>
    <w:rsid w:val="00205868"/>
    <w:rsid w:val="00205894"/>
    <w:rsid w:val="00205D81"/>
    <w:rsid w:val="00207CE7"/>
    <w:rsid w:val="0021003B"/>
    <w:rsid w:val="00210055"/>
    <w:rsid w:val="00210A15"/>
    <w:rsid w:val="00211198"/>
    <w:rsid w:val="00211A2D"/>
    <w:rsid w:val="0021202C"/>
    <w:rsid w:val="00212408"/>
    <w:rsid w:val="002124C1"/>
    <w:rsid w:val="00212636"/>
    <w:rsid w:val="00215E5D"/>
    <w:rsid w:val="00215ED6"/>
    <w:rsid w:val="00216B41"/>
    <w:rsid w:val="00216E53"/>
    <w:rsid w:val="00222EEE"/>
    <w:rsid w:val="00223625"/>
    <w:rsid w:val="0022412D"/>
    <w:rsid w:val="00224A6A"/>
    <w:rsid w:val="00225762"/>
    <w:rsid w:val="002263D6"/>
    <w:rsid w:val="002278FD"/>
    <w:rsid w:val="002305CB"/>
    <w:rsid w:val="00230FA6"/>
    <w:rsid w:val="00231474"/>
    <w:rsid w:val="00231F30"/>
    <w:rsid w:val="002323CE"/>
    <w:rsid w:val="002328B0"/>
    <w:rsid w:val="00232B54"/>
    <w:rsid w:val="00232FE0"/>
    <w:rsid w:val="002336CD"/>
    <w:rsid w:val="00233D14"/>
    <w:rsid w:val="00233DB0"/>
    <w:rsid w:val="00233DF9"/>
    <w:rsid w:val="00233E4B"/>
    <w:rsid w:val="0023400A"/>
    <w:rsid w:val="002344CF"/>
    <w:rsid w:val="00234508"/>
    <w:rsid w:val="0023522F"/>
    <w:rsid w:val="002354FB"/>
    <w:rsid w:val="002359D1"/>
    <w:rsid w:val="00236050"/>
    <w:rsid w:val="002366F0"/>
    <w:rsid w:val="00240227"/>
    <w:rsid w:val="00240757"/>
    <w:rsid w:val="00240E5B"/>
    <w:rsid w:val="002412BE"/>
    <w:rsid w:val="00241B54"/>
    <w:rsid w:val="002423E4"/>
    <w:rsid w:val="00243D4B"/>
    <w:rsid w:val="0024423A"/>
    <w:rsid w:val="00245143"/>
    <w:rsid w:val="002453CD"/>
    <w:rsid w:val="00247831"/>
    <w:rsid w:val="00247832"/>
    <w:rsid w:val="00247B0F"/>
    <w:rsid w:val="00250621"/>
    <w:rsid w:val="0025066C"/>
    <w:rsid w:val="00250713"/>
    <w:rsid w:val="0025226A"/>
    <w:rsid w:val="00253642"/>
    <w:rsid w:val="0025370D"/>
    <w:rsid w:val="00253E26"/>
    <w:rsid w:val="00253EE9"/>
    <w:rsid w:val="00253FB7"/>
    <w:rsid w:val="00254270"/>
    <w:rsid w:val="002542D8"/>
    <w:rsid w:val="002550E1"/>
    <w:rsid w:val="00255CC0"/>
    <w:rsid w:val="00256E14"/>
    <w:rsid w:val="00257ABA"/>
    <w:rsid w:val="00257DA4"/>
    <w:rsid w:val="0026014C"/>
    <w:rsid w:val="00260D85"/>
    <w:rsid w:val="00261D71"/>
    <w:rsid w:val="00261EE8"/>
    <w:rsid w:val="0026203A"/>
    <w:rsid w:val="00262BB1"/>
    <w:rsid w:val="00262D13"/>
    <w:rsid w:val="00263B69"/>
    <w:rsid w:val="002643D9"/>
    <w:rsid w:val="002664B5"/>
    <w:rsid w:val="002672F0"/>
    <w:rsid w:val="002700B9"/>
    <w:rsid w:val="00271ED7"/>
    <w:rsid w:val="002722A6"/>
    <w:rsid w:val="002728AF"/>
    <w:rsid w:val="0027295B"/>
    <w:rsid w:val="00273432"/>
    <w:rsid w:val="0027389D"/>
    <w:rsid w:val="00275133"/>
    <w:rsid w:val="002756A8"/>
    <w:rsid w:val="00275B67"/>
    <w:rsid w:val="0027648F"/>
    <w:rsid w:val="0027670C"/>
    <w:rsid w:val="00276C0E"/>
    <w:rsid w:val="00277892"/>
    <w:rsid w:val="00280015"/>
    <w:rsid w:val="002805AE"/>
    <w:rsid w:val="00280A74"/>
    <w:rsid w:val="00281550"/>
    <w:rsid w:val="00281983"/>
    <w:rsid w:val="002827BA"/>
    <w:rsid w:val="00282C84"/>
    <w:rsid w:val="00282E8F"/>
    <w:rsid w:val="00284308"/>
    <w:rsid w:val="00284808"/>
    <w:rsid w:val="00284893"/>
    <w:rsid w:val="00285A07"/>
    <w:rsid w:val="002868A1"/>
    <w:rsid w:val="00287C2A"/>
    <w:rsid w:val="0029035B"/>
    <w:rsid w:val="00291178"/>
    <w:rsid w:val="00291B40"/>
    <w:rsid w:val="002926A0"/>
    <w:rsid w:val="00292D21"/>
    <w:rsid w:val="00293139"/>
    <w:rsid w:val="002931C4"/>
    <w:rsid w:val="002943A4"/>
    <w:rsid w:val="002945C6"/>
    <w:rsid w:val="002948E6"/>
    <w:rsid w:val="002951BE"/>
    <w:rsid w:val="0029796B"/>
    <w:rsid w:val="002A05AC"/>
    <w:rsid w:val="002A0E92"/>
    <w:rsid w:val="002A11CB"/>
    <w:rsid w:val="002A2328"/>
    <w:rsid w:val="002A298A"/>
    <w:rsid w:val="002A2B37"/>
    <w:rsid w:val="002A3048"/>
    <w:rsid w:val="002A30E4"/>
    <w:rsid w:val="002A3DFE"/>
    <w:rsid w:val="002A4B10"/>
    <w:rsid w:val="002A59A1"/>
    <w:rsid w:val="002A6240"/>
    <w:rsid w:val="002A69AF"/>
    <w:rsid w:val="002B047E"/>
    <w:rsid w:val="002B04AE"/>
    <w:rsid w:val="002B0CEA"/>
    <w:rsid w:val="002B1B4A"/>
    <w:rsid w:val="002B3184"/>
    <w:rsid w:val="002B4B97"/>
    <w:rsid w:val="002B52BF"/>
    <w:rsid w:val="002B68C4"/>
    <w:rsid w:val="002B6CD5"/>
    <w:rsid w:val="002C1077"/>
    <w:rsid w:val="002C19AC"/>
    <w:rsid w:val="002C2135"/>
    <w:rsid w:val="002C2B96"/>
    <w:rsid w:val="002C4728"/>
    <w:rsid w:val="002C6220"/>
    <w:rsid w:val="002C7186"/>
    <w:rsid w:val="002C7342"/>
    <w:rsid w:val="002D02B1"/>
    <w:rsid w:val="002D0D02"/>
    <w:rsid w:val="002D26C2"/>
    <w:rsid w:val="002D279B"/>
    <w:rsid w:val="002D38A2"/>
    <w:rsid w:val="002D4DA2"/>
    <w:rsid w:val="002D7C63"/>
    <w:rsid w:val="002E070D"/>
    <w:rsid w:val="002E1BDD"/>
    <w:rsid w:val="002E2E8D"/>
    <w:rsid w:val="002E36DD"/>
    <w:rsid w:val="002E5BF7"/>
    <w:rsid w:val="002E7F9A"/>
    <w:rsid w:val="002F179F"/>
    <w:rsid w:val="002F2143"/>
    <w:rsid w:val="002F29E4"/>
    <w:rsid w:val="002F4297"/>
    <w:rsid w:val="002F43ED"/>
    <w:rsid w:val="002F440A"/>
    <w:rsid w:val="002F5374"/>
    <w:rsid w:val="002F6464"/>
    <w:rsid w:val="002F77E1"/>
    <w:rsid w:val="002F7C05"/>
    <w:rsid w:val="0030067A"/>
    <w:rsid w:val="003010E9"/>
    <w:rsid w:val="003024CC"/>
    <w:rsid w:val="00302C8C"/>
    <w:rsid w:val="003032D4"/>
    <w:rsid w:val="003035A9"/>
    <w:rsid w:val="00303B15"/>
    <w:rsid w:val="00305057"/>
    <w:rsid w:val="00305D67"/>
    <w:rsid w:val="00307AF9"/>
    <w:rsid w:val="003112D5"/>
    <w:rsid w:val="0031210E"/>
    <w:rsid w:val="00312391"/>
    <w:rsid w:val="00312C8A"/>
    <w:rsid w:val="00313572"/>
    <w:rsid w:val="00313993"/>
    <w:rsid w:val="00313B1E"/>
    <w:rsid w:val="0031479F"/>
    <w:rsid w:val="00314833"/>
    <w:rsid w:val="00314907"/>
    <w:rsid w:val="003149BD"/>
    <w:rsid w:val="00314FA9"/>
    <w:rsid w:val="00315443"/>
    <w:rsid w:val="0031596C"/>
    <w:rsid w:val="003161FC"/>
    <w:rsid w:val="0031689D"/>
    <w:rsid w:val="00316CCD"/>
    <w:rsid w:val="00317256"/>
    <w:rsid w:val="00317DF2"/>
    <w:rsid w:val="00317E04"/>
    <w:rsid w:val="00320042"/>
    <w:rsid w:val="003202E9"/>
    <w:rsid w:val="00322514"/>
    <w:rsid w:val="00322AC1"/>
    <w:rsid w:val="00324033"/>
    <w:rsid w:val="003240C7"/>
    <w:rsid w:val="00324231"/>
    <w:rsid w:val="00325F64"/>
    <w:rsid w:val="003262FB"/>
    <w:rsid w:val="00326463"/>
    <w:rsid w:val="00326710"/>
    <w:rsid w:val="00326E96"/>
    <w:rsid w:val="00326FFE"/>
    <w:rsid w:val="003307C2"/>
    <w:rsid w:val="00330819"/>
    <w:rsid w:val="00330FA9"/>
    <w:rsid w:val="003314A2"/>
    <w:rsid w:val="003317DE"/>
    <w:rsid w:val="003317FF"/>
    <w:rsid w:val="00332289"/>
    <w:rsid w:val="00332D8F"/>
    <w:rsid w:val="003346E2"/>
    <w:rsid w:val="0033503B"/>
    <w:rsid w:val="003359A9"/>
    <w:rsid w:val="003361F4"/>
    <w:rsid w:val="00336740"/>
    <w:rsid w:val="00336A93"/>
    <w:rsid w:val="003379F6"/>
    <w:rsid w:val="00340684"/>
    <w:rsid w:val="00341146"/>
    <w:rsid w:val="003413E0"/>
    <w:rsid w:val="00341AF9"/>
    <w:rsid w:val="00343BB4"/>
    <w:rsid w:val="003449B2"/>
    <w:rsid w:val="00345678"/>
    <w:rsid w:val="003461D7"/>
    <w:rsid w:val="003467DC"/>
    <w:rsid w:val="003467E8"/>
    <w:rsid w:val="00346EAC"/>
    <w:rsid w:val="003470E0"/>
    <w:rsid w:val="003504DC"/>
    <w:rsid w:val="0035141D"/>
    <w:rsid w:val="00351421"/>
    <w:rsid w:val="00351AB4"/>
    <w:rsid w:val="0035251F"/>
    <w:rsid w:val="00353201"/>
    <w:rsid w:val="00353DEE"/>
    <w:rsid w:val="00354130"/>
    <w:rsid w:val="003554D5"/>
    <w:rsid w:val="00360A1F"/>
    <w:rsid w:val="003619FE"/>
    <w:rsid w:val="00361DA4"/>
    <w:rsid w:val="00361E08"/>
    <w:rsid w:val="00362A93"/>
    <w:rsid w:val="0036493A"/>
    <w:rsid w:val="00365334"/>
    <w:rsid w:val="0036540B"/>
    <w:rsid w:val="00365705"/>
    <w:rsid w:val="00365AF2"/>
    <w:rsid w:val="00366DCC"/>
    <w:rsid w:val="00367C05"/>
    <w:rsid w:val="00370CDD"/>
    <w:rsid w:val="00372508"/>
    <w:rsid w:val="00372635"/>
    <w:rsid w:val="003733E1"/>
    <w:rsid w:val="00373F49"/>
    <w:rsid w:val="0037436B"/>
    <w:rsid w:val="00374634"/>
    <w:rsid w:val="0037497B"/>
    <w:rsid w:val="00375B69"/>
    <w:rsid w:val="00376621"/>
    <w:rsid w:val="00376D45"/>
    <w:rsid w:val="00376DF5"/>
    <w:rsid w:val="0037750C"/>
    <w:rsid w:val="003779D1"/>
    <w:rsid w:val="00377BF6"/>
    <w:rsid w:val="003800D7"/>
    <w:rsid w:val="00381E7B"/>
    <w:rsid w:val="003822EB"/>
    <w:rsid w:val="00382AD3"/>
    <w:rsid w:val="00382BEE"/>
    <w:rsid w:val="00383300"/>
    <w:rsid w:val="00383EAA"/>
    <w:rsid w:val="003857FE"/>
    <w:rsid w:val="0038605C"/>
    <w:rsid w:val="00386AA3"/>
    <w:rsid w:val="003871FE"/>
    <w:rsid w:val="003875D7"/>
    <w:rsid w:val="00390525"/>
    <w:rsid w:val="00392A4D"/>
    <w:rsid w:val="0039321A"/>
    <w:rsid w:val="00393272"/>
    <w:rsid w:val="00393490"/>
    <w:rsid w:val="003937C1"/>
    <w:rsid w:val="00393BAB"/>
    <w:rsid w:val="003942A7"/>
    <w:rsid w:val="003945B7"/>
    <w:rsid w:val="0039518E"/>
    <w:rsid w:val="0039545F"/>
    <w:rsid w:val="0039551F"/>
    <w:rsid w:val="0039560B"/>
    <w:rsid w:val="00395C83"/>
    <w:rsid w:val="00395EDE"/>
    <w:rsid w:val="00396556"/>
    <w:rsid w:val="003976AC"/>
    <w:rsid w:val="003979C7"/>
    <w:rsid w:val="003A118A"/>
    <w:rsid w:val="003A1EF6"/>
    <w:rsid w:val="003A319C"/>
    <w:rsid w:val="003A43AA"/>
    <w:rsid w:val="003A5778"/>
    <w:rsid w:val="003A5AE0"/>
    <w:rsid w:val="003A5D89"/>
    <w:rsid w:val="003A7540"/>
    <w:rsid w:val="003A79BC"/>
    <w:rsid w:val="003A7B0F"/>
    <w:rsid w:val="003B0A4E"/>
    <w:rsid w:val="003B0BFE"/>
    <w:rsid w:val="003B0D3C"/>
    <w:rsid w:val="003B1798"/>
    <w:rsid w:val="003B18BF"/>
    <w:rsid w:val="003B2677"/>
    <w:rsid w:val="003B3270"/>
    <w:rsid w:val="003B32BD"/>
    <w:rsid w:val="003B3359"/>
    <w:rsid w:val="003B3484"/>
    <w:rsid w:val="003B3518"/>
    <w:rsid w:val="003B36CF"/>
    <w:rsid w:val="003B414D"/>
    <w:rsid w:val="003B467D"/>
    <w:rsid w:val="003B5F02"/>
    <w:rsid w:val="003B69A2"/>
    <w:rsid w:val="003B6B4E"/>
    <w:rsid w:val="003B7504"/>
    <w:rsid w:val="003B793D"/>
    <w:rsid w:val="003C14D9"/>
    <w:rsid w:val="003C154B"/>
    <w:rsid w:val="003C1564"/>
    <w:rsid w:val="003C1A4F"/>
    <w:rsid w:val="003C1D71"/>
    <w:rsid w:val="003C2A79"/>
    <w:rsid w:val="003C2CB6"/>
    <w:rsid w:val="003C2DD4"/>
    <w:rsid w:val="003C36D3"/>
    <w:rsid w:val="003C38CE"/>
    <w:rsid w:val="003C3D06"/>
    <w:rsid w:val="003C50F9"/>
    <w:rsid w:val="003C5C20"/>
    <w:rsid w:val="003C62A6"/>
    <w:rsid w:val="003C68B0"/>
    <w:rsid w:val="003D0203"/>
    <w:rsid w:val="003D0B3A"/>
    <w:rsid w:val="003D0C9C"/>
    <w:rsid w:val="003D0EA5"/>
    <w:rsid w:val="003D1644"/>
    <w:rsid w:val="003D171C"/>
    <w:rsid w:val="003D1A2C"/>
    <w:rsid w:val="003D1DDD"/>
    <w:rsid w:val="003D2A05"/>
    <w:rsid w:val="003D2FCA"/>
    <w:rsid w:val="003D36BD"/>
    <w:rsid w:val="003D3DDE"/>
    <w:rsid w:val="003D456B"/>
    <w:rsid w:val="003D485B"/>
    <w:rsid w:val="003D4BA6"/>
    <w:rsid w:val="003D5762"/>
    <w:rsid w:val="003D59EB"/>
    <w:rsid w:val="003D5D56"/>
    <w:rsid w:val="003D5F21"/>
    <w:rsid w:val="003D6294"/>
    <w:rsid w:val="003E0464"/>
    <w:rsid w:val="003E0736"/>
    <w:rsid w:val="003E08E0"/>
    <w:rsid w:val="003E1822"/>
    <w:rsid w:val="003E27F1"/>
    <w:rsid w:val="003E2F05"/>
    <w:rsid w:val="003E30C1"/>
    <w:rsid w:val="003E35AB"/>
    <w:rsid w:val="003E4CC6"/>
    <w:rsid w:val="003E5179"/>
    <w:rsid w:val="003E543F"/>
    <w:rsid w:val="003E5860"/>
    <w:rsid w:val="003E5A1C"/>
    <w:rsid w:val="003E64DE"/>
    <w:rsid w:val="003E69EF"/>
    <w:rsid w:val="003E7695"/>
    <w:rsid w:val="003E7DFD"/>
    <w:rsid w:val="003F0C9B"/>
    <w:rsid w:val="003F21DE"/>
    <w:rsid w:val="003F285D"/>
    <w:rsid w:val="003F2CF4"/>
    <w:rsid w:val="003F2D95"/>
    <w:rsid w:val="003F3380"/>
    <w:rsid w:val="003F3565"/>
    <w:rsid w:val="003F3B63"/>
    <w:rsid w:val="003F3E0C"/>
    <w:rsid w:val="003F3E1D"/>
    <w:rsid w:val="003F4071"/>
    <w:rsid w:val="003F6358"/>
    <w:rsid w:val="00400B0D"/>
    <w:rsid w:val="004025E6"/>
    <w:rsid w:val="00403345"/>
    <w:rsid w:val="004043AC"/>
    <w:rsid w:val="00404FFC"/>
    <w:rsid w:val="004050E0"/>
    <w:rsid w:val="0041097F"/>
    <w:rsid w:val="00410E98"/>
    <w:rsid w:val="004115F0"/>
    <w:rsid w:val="004142E9"/>
    <w:rsid w:val="00415060"/>
    <w:rsid w:val="00415A28"/>
    <w:rsid w:val="004166B5"/>
    <w:rsid w:val="0041789F"/>
    <w:rsid w:val="004178D3"/>
    <w:rsid w:val="00417B4A"/>
    <w:rsid w:val="00417FC8"/>
    <w:rsid w:val="0042020B"/>
    <w:rsid w:val="00420421"/>
    <w:rsid w:val="00420FC0"/>
    <w:rsid w:val="00423172"/>
    <w:rsid w:val="0042386C"/>
    <w:rsid w:val="00423BA7"/>
    <w:rsid w:val="00423EE3"/>
    <w:rsid w:val="004243E7"/>
    <w:rsid w:val="00424C7E"/>
    <w:rsid w:val="004252B1"/>
    <w:rsid w:val="004252E3"/>
    <w:rsid w:val="00425583"/>
    <w:rsid w:val="00425618"/>
    <w:rsid w:val="004263F9"/>
    <w:rsid w:val="00427C78"/>
    <w:rsid w:val="0043023F"/>
    <w:rsid w:val="004303F6"/>
    <w:rsid w:val="00430DAA"/>
    <w:rsid w:val="004314DC"/>
    <w:rsid w:val="00431A39"/>
    <w:rsid w:val="00431DB1"/>
    <w:rsid w:val="00431EC7"/>
    <w:rsid w:val="00432539"/>
    <w:rsid w:val="00433D3A"/>
    <w:rsid w:val="00433FB4"/>
    <w:rsid w:val="00434657"/>
    <w:rsid w:val="004347F0"/>
    <w:rsid w:val="00434867"/>
    <w:rsid w:val="00434954"/>
    <w:rsid w:val="00435970"/>
    <w:rsid w:val="00435AA5"/>
    <w:rsid w:val="00436A62"/>
    <w:rsid w:val="0043745A"/>
    <w:rsid w:val="0043765C"/>
    <w:rsid w:val="0044153F"/>
    <w:rsid w:val="00441ED6"/>
    <w:rsid w:val="00443086"/>
    <w:rsid w:val="0044321D"/>
    <w:rsid w:val="00443320"/>
    <w:rsid w:val="004456CB"/>
    <w:rsid w:val="00445ACC"/>
    <w:rsid w:val="00446843"/>
    <w:rsid w:val="0044692D"/>
    <w:rsid w:val="00446AE3"/>
    <w:rsid w:val="004504EA"/>
    <w:rsid w:val="00450A9E"/>
    <w:rsid w:val="00452432"/>
    <w:rsid w:val="00452E5F"/>
    <w:rsid w:val="00454812"/>
    <w:rsid w:val="004557ED"/>
    <w:rsid w:val="00455840"/>
    <w:rsid w:val="00456AE1"/>
    <w:rsid w:val="00457BD5"/>
    <w:rsid w:val="004619EF"/>
    <w:rsid w:val="00461DB2"/>
    <w:rsid w:val="00461E5B"/>
    <w:rsid w:val="00461EAD"/>
    <w:rsid w:val="00462142"/>
    <w:rsid w:val="00462F4C"/>
    <w:rsid w:val="00462FDD"/>
    <w:rsid w:val="004637D3"/>
    <w:rsid w:val="00463905"/>
    <w:rsid w:val="00463F59"/>
    <w:rsid w:val="0046528A"/>
    <w:rsid w:val="004663F4"/>
    <w:rsid w:val="00466A47"/>
    <w:rsid w:val="00467DE7"/>
    <w:rsid w:val="00470364"/>
    <w:rsid w:val="00470758"/>
    <w:rsid w:val="00471739"/>
    <w:rsid w:val="00472AD8"/>
    <w:rsid w:val="00472B31"/>
    <w:rsid w:val="00472D4C"/>
    <w:rsid w:val="0047349C"/>
    <w:rsid w:val="004735E6"/>
    <w:rsid w:val="00473BB1"/>
    <w:rsid w:val="00475435"/>
    <w:rsid w:val="00475ED5"/>
    <w:rsid w:val="00476190"/>
    <w:rsid w:val="00476BA0"/>
    <w:rsid w:val="00476FB8"/>
    <w:rsid w:val="004771E8"/>
    <w:rsid w:val="004814E9"/>
    <w:rsid w:val="0048155D"/>
    <w:rsid w:val="00481CC2"/>
    <w:rsid w:val="0048332C"/>
    <w:rsid w:val="00483A8F"/>
    <w:rsid w:val="00483D18"/>
    <w:rsid w:val="004843C8"/>
    <w:rsid w:val="004847F4"/>
    <w:rsid w:val="00484963"/>
    <w:rsid w:val="00484A92"/>
    <w:rsid w:val="00485CC3"/>
    <w:rsid w:val="00485D6D"/>
    <w:rsid w:val="00485FBF"/>
    <w:rsid w:val="0048626B"/>
    <w:rsid w:val="004879D7"/>
    <w:rsid w:val="004879FC"/>
    <w:rsid w:val="0049040B"/>
    <w:rsid w:val="004920AD"/>
    <w:rsid w:val="00492A2F"/>
    <w:rsid w:val="00493104"/>
    <w:rsid w:val="00494FBD"/>
    <w:rsid w:val="004A0315"/>
    <w:rsid w:val="004A0433"/>
    <w:rsid w:val="004A0F37"/>
    <w:rsid w:val="004A1761"/>
    <w:rsid w:val="004A19F0"/>
    <w:rsid w:val="004A1ABC"/>
    <w:rsid w:val="004A2CE2"/>
    <w:rsid w:val="004A2EED"/>
    <w:rsid w:val="004A375B"/>
    <w:rsid w:val="004A3DA8"/>
    <w:rsid w:val="004A45B0"/>
    <w:rsid w:val="004A4BD1"/>
    <w:rsid w:val="004A7B91"/>
    <w:rsid w:val="004B00BE"/>
    <w:rsid w:val="004B07DA"/>
    <w:rsid w:val="004B0AC6"/>
    <w:rsid w:val="004B0F57"/>
    <w:rsid w:val="004B12BA"/>
    <w:rsid w:val="004B1586"/>
    <w:rsid w:val="004B1BEA"/>
    <w:rsid w:val="004B1E65"/>
    <w:rsid w:val="004B25B7"/>
    <w:rsid w:val="004B26FA"/>
    <w:rsid w:val="004B3699"/>
    <w:rsid w:val="004B3AD8"/>
    <w:rsid w:val="004B47AB"/>
    <w:rsid w:val="004B4FA2"/>
    <w:rsid w:val="004B4FBA"/>
    <w:rsid w:val="004B5248"/>
    <w:rsid w:val="004B5A28"/>
    <w:rsid w:val="004B5DEE"/>
    <w:rsid w:val="004B5E7B"/>
    <w:rsid w:val="004B6E95"/>
    <w:rsid w:val="004C0072"/>
    <w:rsid w:val="004C02A9"/>
    <w:rsid w:val="004C0A81"/>
    <w:rsid w:val="004C115E"/>
    <w:rsid w:val="004C1242"/>
    <w:rsid w:val="004C1A30"/>
    <w:rsid w:val="004C340C"/>
    <w:rsid w:val="004C340D"/>
    <w:rsid w:val="004C3668"/>
    <w:rsid w:val="004C3790"/>
    <w:rsid w:val="004C3838"/>
    <w:rsid w:val="004C54DB"/>
    <w:rsid w:val="004C6697"/>
    <w:rsid w:val="004C6980"/>
    <w:rsid w:val="004C6CD6"/>
    <w:rsid w:val="004D0648"/>
    <w:rsid w:val="004D0AA1"/>
    <w:rsid w:val="004D1531"/>
    <w:rsid w:val="004D1A51"/>
    <w:rsid w:val="004D1F6E"/>
    <w:rsid w:val="004D231A"/>
    <w:rsid w:val="004D2EAB"/>
    <w:rsid w:val="004D36F9"/>
    <w:rsid w:val="004D3D46"/>
    <w:rsid w:val="004D44D3"/>
    <w:rsid w:val="004D478F"/>
    <w:rsid w:val="004D483B"/>
    <w:rsid w:val="004D568A"/>
    <w:rsid w:val="004D5760"/>
    <w:rsid w:val="004D6551"/>
    <w:rsid w:val="004D6784"/>
    <w:rsid w:val="004D6801"/>
    <w:rsid w:val="004D6C69"/>
    <w:rsid w:val="004D72C5"/>
    <w:rsid w:val="004D7D2B"/>
    <w:rsid w:val="004E0AAD"/>
    <w:rsid w:val="004E17B8"/>
    <w:rsid w:val="004E1E90"/>
    <w:rsid w:val="004E30BD"/>
    <w:rsid w:val="004E420C"/>
    <w:rsid w:val="004E445E"/>
    <w:rsid w:val="004E45CC"/>
    <w:rsid w:val="004E4E90"/>
    <w:rsid w:val="004E5EDE"/>
    <w:rsid w:val="004E68AE"/>
    <w:rsid w:val="004E6FB2"/>
    <w:rsid w:val="004E73D9"/>
    <w:rsid w:val="004F0374"/>
    <w:rsid w:val="004F1770"/>
    <w:rsid w:val="004F3E80"/>
    <w:rsid w:val="004F460B"/>
    <w:rsid w:val="004F4EDA"/>
    <w:rsid w:val="004F5544"/>
    <w:rsid w:val="004F5C36"/>
    <w:rsid w:val="004F6EE2"/>
    <w:rsid w:val="004F7940"/>
    <w:rsid w:val="00500623"/>
    <w:rsid w:val="0050104A"/>
    <w:rsid w:val="005016B2"/>
    <w:rsid w:val="00501CB8"/>
    <w:rsid w:val="00501DF3"/>
    <w:rsid w:val="0050551C"/>
    <w:rsid w:val="00506428"/>
    <w:rsid w:val="00506937"/>
    <w:rsid w:val="00507110"/>
    <w:rsid w:val="00507649"/>
    <w:rsid w:val="00510CB7"/>
    <w:rsid w:val="00511412"/>
    <w:rsid w:val="00513A69"/>
    <w:rsid w:val="0051480F"/>
    <w:rsid w:val="00514D10"/>
    <w:rsid w:val="0051515D"/>
    <w:rsid w:val="0051527A"/>
    <w:rsid w:val="00515593"/>
    <w:rsid w:val="00516114"/>
    <w:rsid w:val="00516339"/>
    <w:rsid w:val="00517A6A"/>
    <w:rsid w:val="00517CFC"/>
    <w:rsid w:val="00517D09"/>
    <w:rsid w:val="00520C26"/>
    <w:rsid w:val="00520C75"/>
    <w:rsid w:val="00520D08"/>
    <w:rsid w:val="005232A3"/>
    <w:rsid w:val="005245A5"/>
    <w:rsid w:val="00524C1D"/>
    <w:rsid w:val="0052609E"/>
    <w:rsid w:val="005279B3"/>
    <w:rsid w:val="0053007C"/>
    <w:rsid w:val="005300D6"/>
    <w:rsid w:val="005316E7"/>
    <w:rsid w:val="00532577"/>
    <w:rsid w:val="005325B6"/>
    <w:rsid w:val="00532C1C"/>
    <w:rsid w:val="005338DF"/>
    <w:rsid w:val="00533976"/>
    <w:rsid w:val="00533B71"/>
    <w:rsid w:val="00533BE0"/>
    <w:rsid w:val="0053424E"/>
    <w:rsid w:val="005349F3"/>
    <w:rsid w:val="00534AE6"/>
    <w:rsid w:val="0053541C"/>
    <w:rsid w:val="005354B9"/>
    <w:rsid w:val="005354F2"/>
    <w:rsid w:val="00535615"/>
    <w:rsid w:val="00536016"/>
    <w:rsid w:val="005364DD"/>
    <w:rsid w:val="00536628"/>
    <w:rsid w:val="0053754C"/>
    <w:rsid w:val="00537C7F"/>
    <w:rsid w:val="00540ED5"/>
    <w:rsid w:val="005413C8"/>
    <w:rsid w:val="00542F82"/>
    <w:rsid w:val="005446A4"/>
    <w:rsid w:val="00545D99"/>
    <w:rsid w:val="00546A1F"/>
    <w:rsid w:val="00546B53"/>
    <w:rsid w:val="00546EA5"/>
    <w:rsid w:val="005473ED"/>
    <w:rsid w:val="00547BF2"/>
    <w:rsid w:val="00547EFF"/>
    <w:rsid w:val="0055155A"/>
    <w:rsid w:val="00551A1D"/>
    <w:rsid w:val="00551BA5"/>
    <w:rsid w:val="005524D3"/>
    <w:rsid w:val="005527E2"/>
    <w:rsid w:val="005531E6"/>
    <w:rsid w:val="00553399"/>
    <w:rsid w:val="0055339F"/>
    <w:rsid w:val="005535AE"/>
    <w:rsid w:val="005536DD"/>
    <w:rsid w:val="00553757"/>
    <w:rsid w:val="00553F1B"/>
    <w:rsid w:val="00554926"/>
    <w:rsid w:val="0055553D"/>
    <w:rsid w:val="00555E6E"/>
    <w:rsid w:val="00556A20"/>
    <w:rsid w:val="00556A91"/>
    <w:rsid w:val="00560219"/>
    <w:rsid w:val="00560673"/>
    <w:rsid w:val="00560DC5"/>
    <w:rsid w:val="00561876"/>
    <w:rsid w:val="005625B6"/>
    <w:rsid w:val="0056300D"/>
    <w:rsid w:val="0056339F"/>
    <w:rsid w:val="00564127"/>
    <w:rsid w:val="005647A9"/>
    <w:rsid w:val="0056496A"/>
    <w:rsid w:val="005659DE"/>
    <w:rsid w:val="00565ED5"/>
    <w:rsid w:val="005665DB"/>
    <w:rsid w:val="00566905"/>
    <w:rsid w:val="005670F4"/>
    <w:rsid w:val="005701DB"/>
    <w:rsid w:val="00570872"/>
    <w:rsid w:val="00570FE6"/>
    <w:rsid w:val="005710FF"/>
    <w:rsid w:val="00573399"/>
    <w:rsid w:val="00573BC3"/>
    <w:rsid w:val="00573DDC"/>
    <w:rsid w:val="005744DE"/>
    <w:rsid w:val="005749BB"/>
    <w:rsid w:val="00575BDA"/>
    <w:rsid w:val="00576D0A"/>
    <w:rsid w:val="00577977"/>
    <w:rsid w:val="00580333"/>
    <w:rsid w:val="0058098D"/>
    <w:rsid w:val="00580E7A"/>
    <w:rsid w:val="00581B26"/>
    <w:rsid w:val="005823AE"/>
    <w:rsid w:val="005824FB"/>
    <w:rsid w:val="005824FE"/>
    <w:rsid w:val="00584626"/>
    <w:rsid w:val="00584D63"/>
    <w:rsid w:val="005850F1"/>
    <w:rsid w:val="005855DA"/>
    <w:rsid w:val="005858E9"/>
    <w:rsid w:val="00587278"/>
    <w:rsid w:val="005876E0"/>
    <w:rsid w:val="005911C9"/>
    <w:rsid w:val="00591A62"/>
    <w:rsid w:val="00591DA6"/>
    <w:rsid w:val="005921A0"/>
    <w:rsid w:val="0059257A"/>
    <w:rsid w:val="00592637"/>
    <w:rsid w:val="00594D61"/>
    <w:rsid w:val="005950D4"/>
    <w:rsid w:val="00595322"/>
    <w:rsid w:val="005962DD"/>
    <w:rsid w:val="00596369"/>
    <w:rsid w:val="005967CB"/>
    <w:rsid w:val="0059795A"/>
    <w:rsid w:val="005A16AD"/>
    <w:rsid w:val="005A1C2D"/>
    <w:rsid w:val="005A44E1"/>
    <w:rsid w:val="005A47E8"/>
    <w:rsid w:val="005A4AA0"/>
    <w:rsid w:val="005A4E71"/>
    <w:rsid w:val="005A51D8"/>
    <w:rsid w:val="005A529D"/>
    <w:rsid w:val="005A56A7"/>
    <w:rsid w:val="005A5E53"/>
    <w:rsid w:val="005A76F7"/>
    <w:rsid w:val="005A7A54"/>
    <w:rsid w:val="005B1F3C"/>
    <w:rsid w:val="005B2C1A"/>
    <w:rsid w:val="005B3574"/>
    <w:rsid w:val="005B4180"/>
    <w:rsid w:val="005B44FC"/>
    <w:rsid w:val="005B47CB"/>
    <w:rsid w:val="005B4DEA"/>
    <w:rsid w:val="005B4DF7"/>
    <w:rsid w:val="005B51DC"/>
    <w:rsid w:val="005B5682"/>
    <w:rsid w:val="005B573B"/>
    <w:rsid w:val="005B5A88"/>
    <w:rsid w:val="005B7857"/>
    <w:rsid w:val="005C0171"/>
    <w:rsid w:val="005C0227"/>
    <w:rsid w:val="005C0C25"/>
    <w:rsid w:val="005C2489"/>
    <w:rsid w:val="005C2622"/>
    <w:rsid w:val="005C3A40"/>
    <w:rsid w:val="005C3AF3"/>
    <w:rsid w:val="005C40E7"/>
    <w:rsid w:val="005C51EC"/>
    <w:rsid w:val="005C5256"/>
    <w:rsid w:val="005C5DA1"/>
    <w:rsid w:val="005C64AD"/>
    <w:rsid w:val="005C65AB"/>
    <w:rsid w:val="005C69B2"/>
    <w:rsid w:val="005C7381"/>
    <w:rsid w:val="005C78E9"/>
    <w:rsid w:val="005C7D97"/>
    <w:rsid w:val="005D0B19"/>
    <w:rsid w:val="005D18A3"/>
    <w:rsid w:val="005D2788"/>
    <w:rsid w:val="005D40E8"/>
    <w:rsid w:val="005D45BF"/>
    <w:rsid w:val="005D59D7"/>
    <w:rsid w:val="005D5B89"/>
    <w:rsid w:val="005D5E60"/>
    <w:rsid w:val="005D5F3D"/>
    <w:rsid w:val="005D64DB"/>
    <w:rsid w:val="005D6D63"/>
    <w:rsid w:val="005E0C74"/>
    <w:rsid w:val="005E0F59"/>
    <w:rsid w:val="005E1367"/>
    <w:rsid w:val="005E1F07"/>
    <w:rsid w:val="005E33C2"/>
    <w:rsid w:val="005E4058"/>
    <w:rsid w:val="005E4417"/>
    <w:rsid w:val="005E5E4D"/>
    <w:rsid w:val="005E6183"/>
    <w:rsid w:val="005E6B16"/>
    <w:rsid w:val="005E7717"/>
    <w:rsid w:val="005F074D"/>
    <w:rsid w:val="005F0BC1"/>
    <w:rsid w:val="005F246F"/>
    <w:rsid w:val="005F299F"/>
    <w:rsid w:val="005F3C70"/>
    <w:rsid w:val="005F6538"/>
    <w:rsid w:val="005F680E"/>
    <w:rsid w:val="005F6F5F"/>
    <w:rsid w:val="005F6F8F"/>
    <w:rsid w:val="0060017A"/>
    <w:rsid w:val="0060055E"/>
    <w:rsid w:val="00600806"/>
    <w:rsid w:val="00600EF8"/>
    <w:rsid w:val="0060108C"/>
    <w:rsid w:val="00601675"/>
    <w:rsid w:val="00601C53"/>
    <w:rsid w:val="0060429C"/>
    <w:rsid w:val="0060491E"/>
    <w:rsid w:val="00604BA7"/>
    <w:rsid w:val="00605316"/>
    <w:rsid w:val="0060559A"/>
    <w:rsid w:val="0060577D"/>
    <w:rsid w:val="00606250"/>
    <w:rsid w:val="00606737"/>
    <w:rsid w:val="00606C85"/>
    <w:rsid w:val="006074C8"/>
    <w:rsid w:val="00607DD9"/>
    <w:rsid w:val="006100BE"/>
    <w:rsid w:val="006103DA"/>
    <w:rsid w:val="006114D7"/>
    <w:rsid w:val="00611D6F"/>
    <w:rsid w:val="00612A2E"/>
    <w:rsid w:val="00612C39"/>
    <w:rsid w:val="006134C2"/>
    <w:rsid w:val="00615411"/>
    <w:rsid w:val="0061670C"/>
    <w:rsid w:val="0061673C"/>
    <w:rsid w:val="00616E4A"/>
    <w:rsid w:val="006173B5"/>
    <w:rsid w:val="0062019F"/>
    <w:rsid w:val="00621059"/>
    <w:rsid w:val="00621BBB"/>
    <w:rsid w:val="00621BF0"/>
    <w:rsid w:val="00622429"/>
    <w:rsid w:val="00622444"/>
    <w:rsid w:val="006233C4"/>
    <w:rsid w:val="006239E4"/>
    <w:rsid w:val="00623E4D"/>
    <w:rsid w:val="006245F3"/>
    <w:rsid w:val="00624CEF"/>
    <w:rsid w:val="00625C47"/>
    <w:rsid w:val="00625EC0"/>
    <w:rsid w:val="00626374"/>
    <w:rsid w:val="00627298"/>
    <w:rsid w:val="00627B91"/>
    <w:rsid w:val="00627FD5"/>
    <w:rsid w:val="00631155"/>
    <w:rsid w:val="006314DF"/>
    <w:rsid w:val="00631617"/>
    <w:rsid w:val="00631A07"/>
    <w:rsid w:val="0063237D"/>
    <w:rsid w:val="00632713"/>
    <w:rsid w:val="00632748"/>
    <w:rsid w:val="00632F49"/>
    <w:rsid w:val="00633004"/>
    <w:rsid w:val="00633BD1"/>
    <w:rsid w:val="006341CB"/>
    <w:rsid w:val="00634B30"/>
    <w:rsid w:val="00634D61"/>
    <w:rsid w:val="00634EE1"/>
    <w:rsid w:val="006359EE"/>
    <w:rsid w:val="00635CCC"/>
    <w:rsid w:val="006373C9"/>
    <w:rsid w:val="00637460"/>
    <w:rsid w:val="006376BC"/>
    <w:rsid w:val="00640010"/>
    <w:rsid w:val="0064112A"/>
    <w:rsid w:val="006417F2"/>
    <w:rsid w:val="0064197E"/>
    <w:rsid w:val="00641F5A"/>
    <w:rsid w:val="00642038"/>
    <w:rsid w:val="006431A4"/>
    <w:rsid w:val="00643E06"/>
    <w:rsid w:val="0064482B"/>
    <w:rsid w:val="00644B1E"/>
    <w:rsid w:val="00646275"/>
    <w:rsid w:val="00646949"/>
    <w:rsid w:val="006475F8"/>
    <w:rsid w:val="00647D85"/>
    <w:rsid w:val="00651540"/>
    <w:rsid w:val="00651B70"/>
    <w:rsid w:val="00652B60"/>
    <w:rsid w:val="00653788"/>
    <w:rsid w:val="00654752"/>
    <w:rsid w:val="0065671E"/>
    <w:rsid w:val="006574B3"/>
    <w:rsid w:val="00657860"/>
    <w:rsid w:val="006605D6"/>
    <w:rsid w:val="0066068B"/>
    <w:rsid w:val="00660A41"/>
    <w:rsid w:val="006617AD"/>
    <w:rsid w:val="00661F92"/>
    <w:rsid w:val="006623DA"/>
    <w:rsid w:val="0066273E"/>
    <w:rsid w:val="0066305E"/>
    <w:rsid w:val="0066411A"/>
    <w:rsid w:val="00664B3A"/>
    <w:rsid w:val="00664D90"/>
    <w:rsid w:val="00665F0E"/>
    <w:rsid w:val="00666EC0"/>
    <w:rsid w:val="00670E93"/>
    <w:rsid w:val="00670FF5"/>
    <w:rsid w:val="00671A6B"/>
    <w:rsid w:val="00672241"/>
    <w:rsid w:val="00672A63"/>
    <w:rsid w:val="006731B1"/>
    <w:rsid w:val="00673588"/>
    <w:rsid w:val="00673A3D"/>
    <w:rsid w:val="0067418F"/>
    <w:rsid w:val="00676E6E"/>
    <w:rsid w:val="00677019"/>
    <w:rsid w:val="00677AC7"/>
    <w:rsid w:val="006800C2"/>
    <w:rsid w:val="00680AF8"/>
    <w:rsid w:val="006815B5"/>
    <w:rsid w:val="00681F83"/>
    <w:rsid w:val="006827B7"/>
    <w:rsid w:val="00682820"/>
    <w:rsid w:val="006828A2"/>
    <w:rsid w:val="00683413"/>
    <w:rsid w:val="00684249"/>
    <w:rsid w:val="00684C08"/>
    <w:rsid w:val="00684E65"/>
    <w:rsid w:val="00686F5C"/>
    <w:rsid w:val="00687C76"/>
    <w:rsid w:val="00690478"/>
    <w:rsid w:val="00690C2D"/>
    <w:rsid w:val="00690C66"/>
    <w:rsid w:val="0069139A"/>
    <w:rsid w:val="00691419"/>
    <w:rsid w:val="006924E2"/>
    <w:rsid w:val="00692A55"/>
    <w:rsid w:val="00692AA8"/>
    <w:rsid w:val="00692AB1"/>
    <w:rsid w:val="00692B94"/>
    <w:rsid w:val="00694F7E"/>
    <w:rsid w:val="00696017"/>
    <w:rsid w:val="00696389"/>
    <w:rsid w:val="006964DA"/>
    <w:rsid w:val="0069683A"/>
    <w:rsid w:val="00696B1E"/>
    <w:rsid w:val="0069720D"/>
    <w:rsid w:val="00697CA2"/>
    <w:rsid w:val="00697F59"/>
    <w:rsid w:val="006A025F"/>
    <w:rsid w:val="006A0965"/>
    <w:rsid w:val="006A0B24"/>
    <w:rsid w:val="006A0E4A"/>
    <w:rsid w:val="006A22C9"/>
    <w:rsid w:val="006A259A"/>
    <w:rsid w:val="006A3A11"/>
    <w:rsid w:val="006A3CB1"/>
    <w:rsid w:val="006A4E3F"/>
    <w:rsid w:val="006A68C3"/>
    <w:rsid w:val="006B0256"/>
    <w:rsid w:val="006B0498"/>
    <w:rsid w:val="006B0D29"/>
    <w:rsid w:val="006B0EDF"/>
    <w:rsid w:val="006B214E"/>
    <w:rsid w:val="006B2E49"/>
    <w:rsid w:val="006B325B"/>
    <w:rsid w:val="006B3600"/>
    <w:rsid w:val="006B5EDF"/>
    <w:rsid w:val="006C03F6"/>
    <w:rsid w:val="006C0F46"/>
    <w:rsid w:val="006C2CD7"/>
    <w:rsid w:val="006C2CDC"/>
    <w:rsid w:val="006C2E3B"/>
    <w:rsid w:val="006C3099"/>
    <w:rsid w:val="006C321B"/>
    <w:rsid w:val="006C32AA"/>
    <w:rsid w:val="006C50F3"/>
    <w:rsid w:val="006C65AA"/>
    <w:rsid w:val="006C67D6"/>
    <w:rsid w:val="006C7121"/>
    <w:rsid w:val="006C73CC"/>
    <w:rsid w:val="006C759E"/>
    <w:rsid w:val="006C7D5A"/>
    <w:rsid w:val="006C7FFB"/>
    <w:rsid w:val="006D004C"/>
    <w:rsid w:val="006D16FF"/>
    <w:rsid w:val="006D2920"/>
    <w:rsid w:val="006D2990"/>
    <w:rsid w:val="006D2B5B"/>
    <w:rsid w:val="006D3206"/>
    <w:rsid w:val="006D4313"/>
    <w:rsid w:val="006D4450"/>
    <w:rsid w:val="006D4648"/>
    <w:rsid w:val="006D4A23"/>
    <w:rsid w:val="006D4ABD"/>
    <w:rsid w:val="006D583D"/>
    <w:rsid w:val="006D5C2D"/>
    <w:rsid w:val="006D5D90"/>
    <w:rsid w:val="006D628A"/>
    <w:rsid w:val="006D74AD"/>
    <w:rsid w:val="006D7B60"/>
    <w:rsid w:val="006E25A7"/>
    <w:rsid w:val="006E2C77"/>
    <w:rsid w:val="006E44DA"/>
    <w:rsid w:val="006E5234"/>
    <w:rsid w:val="006E7159"/>
    <w:rsid w:val="006E7923"/>
    <w:rsid w:val="006E7AE1"/>
    <w:rsid w:val="006F08F1"/>
    <w:rsid w:val="006F1629"/>
    <w:rsid w:val="006F18CB"/>
    <w:rsid w:val="006F1A32"/>
    <w:rsid w:val="006F1D55"/>
    <w:rsid w:val="006F21E7"/>
    <w:rsid w:val="006F29CA"/>
    <w:rsid w:val="006F3721"/>
    <w:rsid w:val="006F376D"/>
    <w:rsid w:val="006F5DF1"/>
    <w:rsid w:val="006F5EFC"/>
    <w:rsid w:val="006F6583"/>
    <w:rsid w:val="006F66E9"/>
    <w:rsid w:val="006F6E56"/>
    <w:rsid w:val="006F7147"/>
    <w:rsid w:val="006F7E06"/>
    <w:rsid w:val="00700218"/>
    <w:rsid w:val="00700334"/>
    <w:rsid w:val="007007F7"/>
    <w:rsid w:val="00700A5B"/>
    <w:rsid w:val="00700B04"/>
    <w:rsid w:val="00700D46"/>
    <w:rsid w:val="00700EAB"/>
    <w:rsid w:val="00701EAD"/>
    <w:rsid w:val="00702013"/>
    <w:rsid w:val="00703B43"/>
    <w:rsid w:val="00704693"/>
    <w:rsid w:val="00705449"/>
    <w:rsid w:val="00705604"/>
    <w:rsid w:val="00705827"/>
    <w:rsid w:val="00710841"/>
    <w:rsid w:val="00710A99"/>
    <w:rsid w:val="00710FC7"/>
    <w:rsid w:val="00711ECE"/>
    <w:rsid w:val="007123C7"/>
    <w:rsid w:val="007126F4"/>
    <w:rsid w:val="007162B7"/>
    <w:rsid w:val="00716518"/>
    <w:rsid w:val="00716E2D"/>
    <w:rsid w:val="00717752"/>
    <w:rsid w:val="007203D9"/>
    <w:rsid w:val="00720FC3"/>
    <w:rsid w:val="00721081"/>
    <w:rsid w:val="00721930"/>
    <w:rsid w:val="00721F8D"/>
    <w:rsid w:val="0072264D"/>
    <w:rsid w:val="00722793"/>
    <w:rsid w:val="00722ECC"/>
    <w:rsid w:val="00725787"/>
    <w:rsid w:val="00725A26"/>
    <w:rsid w:val="007278B2"/>
    <w:rsid w:val="00727B2D"/>
    <w:rsid w:val="00731A1A"/>
    <w:rsid w:val="00731B5F"/>
    <w:rsid w:val="00731E1A"/>
    <w:rsid w:val="007331BD"/>
    <w:rsid w:val="00734038"/>
    <w:rsid w:val="00734830"/>
    <w:rsid w:val="00735CC7"/>
    <w:rsid w:val="007365AB"/>
    <w:rsid w:val="00737641"/>
    <w:rsid w:val="007408F3"/>
    <w:rsid w:val="00740E50"/>
    <w:rsid w:val="007418B2"/>
    <w:rsid w:val="00742A08"/>
    <w:rsid w:val="00742D09"/>
    <w:rsid w:val="00743C0E"/>
    <w:rsid w:val="007466A2"/>
    <w:rsid w:val="00746BAC"/>
    <w:rsid w:val="00746E9F"/>
    <w:rsid w:val="00746F4B"/>
    <w:rsid w:val="00747188"/>
    <w:rsid w:val="00747428"/>
    <w:rsid w:val="007476AF"/>
    <w:rsid w:val="00747E0D"/>
    <w:rsid w:val="00747F8E"/>
    <w:rsid w:val="007500DE"/>
    <w:rsid w:val="0075055F"/>
    <w:rsid w:val="00750E6B"/>
    <w:rsid w:val="00750F88"/>
    <w:rsid w:val="00751521"/>
    <w:rsid w:val="00751C2B"/>
    <w:rsid w:val="00751CA2"/>
    <w:rsid w:val="00752161"/>
    <w:rsid w:val="007521B2"/>
    <w:rsid w:val="0075285A"/>
    <w:rsid w:val="007533A0"/>
    <w:rsid w:val="007538F7"/>
    <w:rsid w:val="007546A6"/>
    <w:rsid w:val="00756773"/>
    <w:rsid w:val="00756AF3"/>
    <w:rsid w:val="00757ABA"/>
    <w:rsid w:val="00760047"/>
    <w:rsid w:val="007609A6"/>
    <w:rsid w:val="00760C80"/>
    <w:rsid w:val="00761B91"/>
    <w:rsid w:val="0076262C"/>
    <w:rsid w:val="007629AC"/>
    <w:rsid w:val="00762B5C"/>
    <w:rsid w:val="0076386F"/>
    <w:rsid w:val="00763EFB"/>
    <w:rsid w:val="007642D9"/>
    <w:rsid w:val="00765329"/>
    <w:rsid w:val="00765CBC"/>
    <w:rsid w:val="00765E7C"/>
    <w:rsid w:val="007663AF"/>
    <w:rsid w:val="007664DE"/>
    <w:rsid w:val="00766845"/>
    <w:rsid w:val="007676B9"/>
    <w:rsid w:val="0076789A"/>
    <w:rsid w:val="00767D6B"/>
    <w:rsid w:val="00770F11"/>
    <w:rsid w:val="007716EC"/>
    <w:rsid w:val="0077279C"/>
    <w:rsid w:val="007734F7"/>
    <w:rsid w:val="00773A2A"/>
    <w:rsid w:val="00773EFF"/>
    <w:rsid w:val="00774B62"/>
    <w:rsid w:val="00774EAD"/>
    <w:rsid w:val="00775EFA"/>
    <w:rsid w:val="00775FEA"/>
    <w:rsid w:val="007775DF"/>
    <w:rsid w:val="007777A4"/>
    <w:rsid w:val="00777D6C"/>
    <w:rsid w:val="00781056"/>
    <w:rsid w:val="007812FA"/>
    <w:rsid w:val="0078166B"/>
    <w:rsid w:val="007829B8"/>
    <w:rsid w:val="00783118"/>
    <w:rsid w:val="0078335F"/>
    <w:rsid w:val="0078337B"/>
    <w:rsid w:val="00783435"/>
    <w:rsid w:val="00783E7E"/>
    <w:rsid w:val="007860FC"/>
    <w:rsid w:val="00786701"/>
    <w:rsid w:val="00786834"/>
    <w:rsid w:val="00786F05"/>
    <w:rsid w:val="00787B0B"/>
    <w:rsid w:val="00787EA5"/>
    <w:rsid w:val="00790C3B"/>
    <w:rsid w:val="00791094"/>
    <w:rsid w:val="00791BFD"/>
    <w:rsid w:val="00791DD3"/>
    <w:rsid w:val="0079471C"/>
    <w:rsid w:val="0079546F"/>
    <w:rsid w:val="007963E6"/>
    <w:rsid w:val="00796E05"/>
    <w:rsid w:val="00797252"/>
    <w:rsid w:val="00797A69"/>
    <w:rsid w:val="007A0348"/>
    <w:rsid w:val="007A1391"/>
    <w:rsid w:val="007A24B8"/>
    <w:rsid w:val="007A2C19"/>
    <w:rsid w:val="007A3A73"/>
    <w:rsid w:val="007A405B"/>
    <w:rsid w:val="007A4A8C"/>
    <w:rsid w:val="007A4ED2"/>
    <w:rsid w:val="007A5B81"/>
    <w:rsid w:val="007A612B"/>
    <w:rsid w:val="007A751E"/>
    <w:rsid w:val="007A7887"/>
    <w:rsid w:val="007B0F7A"/>
    <w:rsid w:val="007B1186"/>
    <w:rsid w:val="007B1AC0"/>
    <w:rsid w:val="007B1F1A"/>
    <w:rsid w:val="007B2418"/>
    <w:rsid w:val="007B2858"/>
    <w:rsid w:val="007B2BEE"/>
    <w:rsid w:val="007B479D"/>
    <w:rsid w:val="007B495D"/>
    <w:rsid w:val="007B4AB8"/>
    <w:rsid w:val="007B50F9"/>
    <w:rsid w:val="007B7195"/>
    <w:rsid w:val="007B7197"/>
    <w:rsid w:val="007B7460"/>
    <w:rsid w:val="007B77CA"/>
    <w:rsid w:val="007B7DEA"/>
    <w:rsid w:val="007C07D6"/>
    <w:rsid w:val="007C0C50"/>
    <w:rsid w:val="007C168D"/>
    <w:rsid w:val="007C17E5"/>
    <w:rsid w:val="007C31F9"/>
    <w:rsid w:val="007C350A"/>
    <w:rsid w:val="007C4314"/>
    <w:rsid w:val="007C43CB"/>
    <w:rsid w:val="007C45FB"/>
    <w:rsid w:val="007C5198"/>
    <w:rsid w:val="007C53B4"/>
    <w:rsid w:val="007C595D"/>
    <w:rsid w:val="007C5A3F"/>
    <w:rsid w:val="007C62AC"/>
    <w:rsid w:val="007C647B"/>
    <w:rsid w:val="007C734F"/>
    <w:rsid w:val="007D0A01"/>
    <w:rsid w:val="007D20A7"/>
    <w:rsid w:val="007D2E07"/>
    <w:rsid w:val="007D2E4F"/>
    <w:rsid w:val="007D467B"/>
    <w:rsid w:val="007D476F"/>
    <w:rsid w:val="007D4CF6"/>
    <w:rsid w:val="007D573C"/>
    <w:rsid w:val="007D6371"/>
    <w:rsid w:val="007D6E3E"/>
    <w:rsid w:val="007D73D3"/>
    <w:rsid w:val="007D762F"/>
    <w:rsid w:val="007E10B7"/>
    <w:rsid w:val="007E2661"/>
    <w:rsid w:val="007E2695"/>
    <w:rsid w:val="007E29DD"/>
    <w:rsid w:val="007E2A8F"/>
    <w:rsid w:val="007E2DEC"/>
    <w:rsid w:val="007E33DE"/>
    <w:rsid w:val="007E3B49"/>
    <w:rsid w:val="007E4AC5"/>
    <w:rsid w:val="007E50B7"/>
    <w:rsid w:val="007E56FB"/>
    <w:rsid w:val="007E5EDE"/>
    <w:rsid w:val="007E79ED"/>
    <w:rsid w:val="007E7BAB"/>
    <w:rsid w:val="007F1154"/>
    <w:rsid w:val="007F17FE"/>
    <w:rsid w:val="007F2F7B"/>
    <w:rsid w:val="007F30F2"/>
    <w:rsid w:val="007F35E5"/>
    <w:rsid w:val="007F4284"/>
    <w:rsid w:val="007F4596"/>
    <w:rsid w:val="007F4680"/>
    <w:rsid w:val="007F4D3C"/>
    <w:rsid w:val="007F53CB"/>
    <w:rsid w:val="007F5556"/>
    <w:rsid w:val="007F60BC"/>
    <w:rsid w:val="007F65C5"/>
    <w:rsid w:val="007F6C3F"/>
    <w:rsid w:val="007F6F03"/>
    <w:rsid w:val="007F7820"/>
    <w:rsid w:val="007F7CB9"/>
    <w:rsid w:val="007F7FBD"/>
    <w:rsid w:val="0080022A"/>
    <w:rsid w:val="008003B5"/>
    <w:rsid w:val="008008FC"/>
    <w:rsid w:val="0080152B"/>
    <w:rsid w:val="00801D50"/>
    <w:rsid w:val="00801E6F"/>
    <w:rsid w:val="00802716"/>
    <w:rsid w:val="00802723"/>
    <w:rsid w:val="00802AE7"/>
    <w:rsid w:val="00803F3B"/>
    <w:rsid w:val="00804347"/>
    <w:rsid w:val="008048DB"/>
    <w:rsid w:val="00804AF7"/>
    <w:rsid w:val="0080563C"/>
    <w:rsid w:val="00806234"/>
    <w:rsid w:val="00806298"/>
    <w:rsid w:val="0080644E"/>
    <w:rsid w:val="00806644"/>
    <w:rsid w:val="0080702B"/>
    <w:rsid w:val="00807186"/>
    <w:rsid w:val="0080765A"/>
    <w:rsid w:val="00807BC2"/>
    <w:rsid w:val="00807C42"/>
    <w:rsid w:val="00807CD7"/>
    <w:rsid w:val="00807D32"/>
    <w:rsid w:val="0081096A"/>
    <w:rsid w:val="00811391"/>
    <w:rsid w:val="008119CB"/>
    <w:rsid w:val="00812A36"/>
    <w:rsid w:val="00813900"/>
    <w:rsid w:val="00813DBE"/>
    <w:rsid w:val="008140CD"/>
    <w:rsid w:val="0081433C"/>
    <w:rsid w:val="008149AF"/>
    <w:rsid w:val="00815FAF"/>
    <w:rsid w:val="00816020"/>
    <w:rsid w:val="008171BC"/>
    <w:rsid w:val="00817564"/>
    <w:rsid w:val="0082071E"/>
    <w:rsid w:val="00822A67"/>
    <w:rsid w:val="00823E05"/>
    <w:rsid w:val="00824BDA"/>
    <w:rsid w:val="0082576A"/>
    <w:rsid w:val="00825892"/>
    <w:rsid w:val="0082623C"/>
    <w:rsid w:val="008271F9"/>
    <w:rsid w:val="00827EDC"/>
    <w:rsid w:val="00827F7D"/>
    <w:rsid w:val="00830F0B"/>
    <w:rsid w:val="00831737"/>
    <w:rsid w:val="008321DB"/>
    <w:rsid w:val="00834076"/>
    <w:rsid w:val="00834CFE"/>
    <w:rsid w:val="008358AD"/>
    <w:rsid w:val="00835AFC"/>
    <w:rsid w:val="00836A43"/>
    <w:rsid w:val="00836BE2"/>
    <w:rsid w:val="0083773A"/>
    <w:rsid w:val="00840374"/>
    <w:rsid w:val="00840AE3"/>
    <w:rsid w:val="00840DA8"/>
    <w:rsid w:val="008410DE"/>
    <w:rsid w:val="00842AC4"/>
    <w:rsid w:val="00843410"/>
    <w:rsid w:val="00843A63"/>
    <w:rsid w:val="00843E9B"/>
    <w:rsid w:val="00844315"/>
    <w:rsid w:val="008466EB"/>
    <w:rsid w:val="0084676B"/>
    <w:rsid w:val="0084678D"/>
    <w:rsid w:val="00846BBF"/>
    <w:rsid w:val="00847074"/>
    <w:rsid w:val="0084761B"/>
    <w:rsid w:val="00847CD9"/>
    <w:rsid w:val="00847F2D"/>
    <w:rsid w:val="00850040"/>
    <w:rsid w:val="0085028A"/>
    <w:rsid w:val="00850C37"/>
    <w:rsid w:val="00850E2F"/>
    <w:rsid w:val="0085156B"/>
    <w:rsid w:val="00852DBB"/>
    <w:rsid w:val="00853737"/>
    <w:rsid w:val="0085380F"/>
    <w:rsid w:val="00853E08"/>
    <w:rsid w:val="00855A93"/>
    <w:rsid w:val="00856055"/>
    <w:rsid w:val="00856BAE"/>
    <w:rsid w:val="00856BB1"/>
    <w:rsid w:val="0085770B"/>
    <w:rsid w:val="0085794A"/>
    <w:rsid w:val="00857E22"/>
    <w:rsid w:val="00860052"/>
    <w:rsid w:val="00860125"/>
    <w:rsid w:val="008604F1"/>
    <w:rsid w:val="00860B57"/>
    <w:rsid w:val="00860B7F"/>
    <w:rsid w:val="00861218"/>
    <w:rsid w:val="008625B5"/>
    <w:rsid w:val="008635EC"/>
    <w:rsid w:val="0086383E"/>
    <w:rsid w:val="00863897"/>
    <w:rsid w:val="00863B9E"/>
    <w:rsid w:val="00863FCE"/>
    <w:rsid w:val="0086413D"/>
    <w:rsid w:val="00864D72"/>
    <w:rsid w:val="008660D7"/>
    <w:rsid w:val="00866B89"/>
    <w:rsid w:val="00867670"/>
    <w:rsid w:val="00867AC2"/>
    <w:rsid w:val="00867EE9"/>
    <w:rsid w:val="00870D6D"/>
    <w:rsid w:val="00871460"/>
    <w:rsid w:val="00871B28"/>
    <w:rsid w:val="00871C33"/>
    <w:rsid w:val="00872016"/>
    <w:rsid w:val="008728BD"/>
    <w:rsid w:val="00872918"/>
    <w:rsid w:val="0087336C"/>
    <w:rsid w:val="008735FE"/>
    <w:rsid w:val="00873BDC"/>
    <w:rsid w:val="00873DB7"/>
    <w:rsid w:val="00873E0C"/>
    <w:rsid w:val="00874B99"/>
    <w:rsid w:val="00875750"/>
    <w:rsid w:val="00876ED3"/>
    <w:rsid w:val="008772CC"/>
    <w:rsid w:val="00877B7E"/>
    <w:rsid w:val="00877B9A"/>
    <w:rsid w:val="0088163F"/>
    <w:rsid w:val="00882713"/>
    <w:rsid w:val="00882EF9"/>
    <w:rsid w:val="0088329D"/>
    <w:rsid w:val="00883316"/>
    <w:rsid w:val="008835B2"/>
    <w:rsid w:val="00883A1A"/>
    <w:rsid w:val="0088416A"/>
    <w:rsid w:val="00884F3C"/>
    <w:rsid w:val="008870D8"/>
    <w:rsid w:val="00887215"/>
    <w:rsid w:val="008872B2"/>
    <w:rsid w:val="0088751F"/>
    <w:rsid w:val="00887DDB"/>
    <w:rsid w:val="00887EC2"/>
    <w:rsid w:val="00890434"/>
    <w:rsid w:val="008910DE"/>
    <w:rsid w:val="008916DA"/>
    <w:rsid w:val="00893D93"/>
    <w:rsid w:val="00894B14"/>
    <w:rsid w:val="00896E35"/>
    <w:rsid w:val="00897836"/>
    <w:rsid w:val="008A11E5"/>
    <w:rsid w:val="008A28C5"/>
    <w:rsid w:val="008A3003"/>
    <w:rsid w:val="008A3144"/>
    <w:rsid w:val="008A3D55"/>
    <w:rsid w:val="008A4057"/>
    <w:rsid w:val="008A48AF"/>
    <w:rsid w:val="008A58BB"/>
    <w:rsid w:val="008A5B9E"/>
    <w:rsid w:val="008A5C0A"/>
    <w:rsid w:val="008A5E44"/>
    <w:rsid w:val="008A60B2"/>
    <w:rsid w:val="008A6924"/>
    <w:rsid w:val="008A70EA"/>
    <w:rsid w:val="008A7421"/>
    <w:rsid w:val="008A7656"/>
    <w:rsid w:val="008B03C8"/>
    <w:rsid w:val="008B0E36"/>
    <w:rsid w:val="008B13A3"/>
    <w:rsid w:val="008B1818"/>
    <w:rsid w:val="008B1972"/>
    <w:rsid w:val="008B2D31"/>
    <w:rsid w:val="008B37DB"/>
    <w:rsid w:val="008B3970"/>
    <w:rsid w:val="008B3CA2"/>
    <w:rsid w:val="008B3EC3"/>
    <w:rsid w:val="008B3F78"/>
    <w:rsid w:val="008B43D6"/>
    <w:rsid w:val="008B4D74"/>
    <w:rsid w:val="008B4FA7"/>
    <w:rsid w:val="008B55FF"/>
    <w:rsid w:val="008B64C9"/>
    <w:rsid w:val="008B7721"/>
    <w:rsid w:val="008C05AF"/>
    <w:rsid w:val="008C0796"/>
    <w:rsid w:val="008C0E6F"/>
    <w:rsid w:val="008C12D9"/>
    <w:rsid w:val="008C21D3"/>
    <w:rsid w:val="008C2555"/>
    <w:rsid w:val="008C2F7E"/>
    <w:rsid w:val="008C540F"/>
    <w:rsid w:val="008C5FAA"/>
    <w:rsid w:val="008C61C7"/>
    <w:rsid w:val="008C67EC"/>
    <w:rsid w:val="008C6BE8"/>
    <w:rsid w:val="008D0A1A"/>
    <w:rsid w:val="008D0C90"/>
    <w:rsid w:val="008D0F21"/>
    <w:rsid w:val="008D10D4"/>
    <w:rsid w:val="008D1CDA"/>
    <w:rsid w:val="008D30C6"/>
    <w:rsid w:val="008D63A5"/>
    <w:rsid w:val="008D6546"/>
    <w:rsid w:val="008D6BE3"/>
    <w:rsid w:val="008D6CE3"/>
    <w:rsid w:val="008D6E8F"/>
    <w:rsid w:val="008E119C"/>
    <w:rsid w:val="008E144E"/>
    <w:rsid w:val="008E18BC"/>
    <w:rsid w:val="008E2D07"/>
    <w:rsid w:val="008E548B"/>
    <w:rsid w:val="008E5F18"/>
    <w:rsid w:val="008E7664"/>
    <w:rsid w:val="008E766C"/>
    <w:rsid w:val="008E76DA"/>
    <w:rsid w:val="008E7BD6"/>
    <w:rsid w:val="008E7CC8"/>
    <w:rsid w:val="008F0003"/>
    <w:rsid w:val="008F0050"/>
    <w:rsid w:val="008F06DA"/>
    <w:rsid w:val="008F0796"/>
    <w:rsid w:val="008F1B2B"/>
    <w:rsid w:val="008F1E95"/>
    <w:rsid w:val="008F2ABC"/>
    <w:rsid w:val="008F3EBF"/>
    <w:rsid w:val="008F4393"/>
    <w:rsid w:val="008F46C9"/>
    <w:rsid w:val="008F51FB"/>
    <w:rsid w:val="008F60C2"/>
    <w:rsid w:val="008F66F7"/>
    <w:rsid w:val="008F7557"/>
    <w:rsid w:val="008F7C97"/>
    <w:rsid w:val="00900C21"/>
    <w:rsid w:val="00901D6B"/>
    <w:rsid w:val="00901E2F"/>
    <w:rsid w:val="00901E63"/>
    <w:rsid w:val="009021A8"/>
    <w:rsid w:val="00903A01"/>
    <w:rsid w:val="009041F6"/>
    <w:rsid w:val="0090451C"/>
    <w:rsid w:val="00904540"/>
    <w:rsid w:val="0090523C"/>
    <w:rsid w:val="00906D9E"/>
    <w:rsid w:val="00907806"/>
    <w:rsid w:val="00907AC2"/>
    <w:rsid w:val="0091007B"/>
    <w:rsid w:val="00910A07"/>
    <w:rsid w:val="0091153F"/>
    <w:rsid w:val="00911B3C"/>
    <w:rsid w:val="00912341"/>
    <w:rsid w:val="0091333F"/>
    <w:rsid w:val="0091335B"/>
    <w:rsid w:val="00914287"/>
    <w:rsid w:val="0091473E"/>
    <w:rsid w:val="009153AA"/>
    <w:rsid w:val="00916FFF"/>
    <w:rsid w:val="009178E2"/>
    <w:rsid w:val="009203A4"/>
    <w:rsid w:val="009206D8"/>
    <w:rsid w:val="00920B50"/>
    <w:rsid w:val="00920B63"/>
    <w:rsid w:val="00921FE5"/>
    <w:rsid w:val="00922F9A"/>
    <w:rsid w:val="00923F8D"/>
    <w:rsid w:val="0092556D"/>
    <w:rsid w:val="00925921"/>
    <w:rsid w:val="00926350"/>
    <w:rsid w:val="009266FB"/>
    <w:rsid w:val="0092675C"/>
    <w:rsid w:val="009269C4"/>
    <w:rsid w:val="009306CD"/>
    <w:rsid w:val="00930706"/>
    <w:rsid w:val="009318B7"/>
    <w:rsid w:val="00931EDF"/>
    <w:rsid w:val="00932235"/>
    <w:rsid w:val="00932767"/>
    <w:rsid w:val="00932B55"/>
    <w:rsid w:val="00932CAA"/>
    <w:rsid w:val="009346C4"/>
    <w:rsid w:val="00934E73"/>
    <w:rsid w:val="00935626"/>
    <w:rsid w:val="00936565"/>
    <w:rsid w:val="0094005C"/>
    <w:rsid w:val="009400AC"/>
    <w:rsid w:val="0094175A"/>
    <w:rsid w:val="00941E15"/>
    <w:rsid w:val="00943FC4"/>
    <w:rsid w:val="00944345"/>
    <w:rsid w:val="009443F1"/>
    <w:rsid w:val="00944BF4"/>
    <w:rsid w:val="009461C8"/>
    <w:rsid w:val="009464FD"/>
    <w:rsid w:val="00946668"/>
    <w:rsid w:val="00946DDE"/>
    <w:rsid w:val="00946DE2"/>
    <w:rsid w:val="0094707D"/>
    <w:rsid w:val="009470D4"/>
    <w:rsid w:val="009470EE"/>
    <w:rsid w:val="00947681"/>
    <w:rsid w:val="00947FF1"/>
    <w:rsid w:val="0095013C"/>
    <w:rsid w:val="00950527"/>
    <w:rsid w:val="00950CBD"/>
    <w:rsid w:val="0095163B"/>
    <w:rsid w:val="00952517"/>
    <w:rsid w:val="0095264A"/>
    <w:rsid w:val="009528C8"/>
    <w:rsid w:val="00952C20"/>
    <w:rsid w:val="0095344E"/>
    <w:rsid w:val="00953D0A"/>
    <w:rsid w:val="009549EB"/>
    <w:rsid w:val="0095527E"/>
    <w:rsid w:val="00955384"/>
    <w:rsid w:val="00955F52"/>
    <w:rsid w:val="009560B5"/>
    <w:rsid w:val="009571D4"/>
    <w:rsid w:val="009572DF"/>
    <w:rsid w:val="00957A39"/>
    <w:rsid w:val="00960599"/>
    <w:rsid w:val="009608D9"/>
    <w:rsid w:val="00960AA1"/>
    <w:rsid w:val="00960B63"/>
    <w:rsid w:val="009622E4"/>
    <w:rsid w:val="0096288B"/>
    <w:rsid w:val="00962A78"/>
    <w:rsid w:val="00963002"/>
    <w:rsid w:val="009631CA"/>
    <w:rsid w:val="009631FA"/>
    <w:rsid w:val="0096327C"/>
    <w:rsid w:val="00963417"/>
    <w:rsid w:val="0096343D"/>
    <w:rsid w:val="0096366C"/>
    <w:rsid w:val="009642F9"/>
    <w:rsid w:val="00964B87"/>
    <w:rsid w:val="00964F5C"/>
    <w:rsid w:val="00965734"/>
    <w:rsid w:val="009657F4"/>
    <w:rsid w:val="00965823"/>
    <w:rsid w:val="0096591C"/>
    <w:rsid w:val="00966C49"/>
    <w:rsid w:val="00967098"/>
    <w:rsid w:val="00967679"/>
    <w:rsid w:val="00967872"/>
    <w:rsid w:val="00967C8E"/>
    <w:rsid w:val="009705B9"/>
    <w:rsid w:val="0097174C"/>
    <w:rsid w:val="0097177A"/>
    <w:rsid w:val="00971997"/>
    <w:rsid w:val="00972149"/>
    <w:rsid w:val="00972F9A"/>
    <w:rsid w:val="009744B9"/>
    <w:rsid w:val="00974550"/>
    <w:rsid w:val="0097490E"/>
    <w:rsid w:val="00974DBA"/>
    <w:rsid w:val="00975D3D"/>
    <w:rsid w:val="00975E0F"/>
    <w:rsid w:val="00976535"/>
    <w:rsid w:val="00977101"/>
    <w:rsid w:val="0097789E"/>
    <w:rsid w:val="0097789F"/>
    <w:rsid w:val="00977A10"/>
    <w:rsid w:val="00977F35"/>
    <w:rsid w:val="009810B5"/>
    <w:rsid w:val="00981AED"/>
    <w:rsid w:val="00982C39"/>
    <w:rsid w:val="00983B10"/>
    <w:rsid w:val="00983CDD"/>
    <w:rsid w:val="00984BFA"/>
    <w:rsid w:val="00987218"/>
    <w:rsid w:val="009878D7"/>
    <w:rsid w:val="00990A5D"/>
    <w:rsid w:val="00993B01"/>
    <w:rsid w:val="00994348"/>
    <w:rsid w:val="00994478"/>
    <w:rsid w:val="009951DC"/>
    <w:rsid w:val="00995480"/>
    <w:rsid w:val="0099635A"/>
    <w:rsid w:val="0099637C"/>
    <w:rsid w:val="00996450"/>
    <w:rsid w:val="009969E4"/>
    <w:rsid w:val="00997499"/>
    <w:rsid w:val="0099789F"/>
    <w:rsid w:val="009A1811"/>
    <w:rsid w:val="009A1FCE"/>
    <w:rsid w:val="009A209A"/>
    <w:rsid w:val="009A25E6"/>
    <w:rsid w:val="009A4287"/>
    <w:rsid w:val="009A43A4"/>
    <w:rsid w:val="009A43E8"/>
    <w:rsid w:val="009A5158"/>
    <w:rsid w:val="009A6699"/>
    <w:rsid w:val="009A6C7E"/>
    <w:rsid w:val="009A6CF2"/>
    <w:rsid w:val="009A7371"/>
    <w:rsid w:val="009B0498"/>
    <w:rsid w:val="009B078C"/>
    <w:rsid w:val="009B0921"/>
    <w:rsid w:val="009B0D77"/>
    <w:rsid w:val="009B16FB"/>
    <w:rsid w:val="009B1A12"/>
    <w:rsid w:val="009B1AE3"/>
    <w:rsid w:val="009B2379"/>
    <w:rsid w:val="009B256E"/>
    <w:rsid w:val="009B4825"/>
    <w:rsid w:val="009B5D4E"/>
    <w:rsid w:val="009B66E7"/>
    <w:rsid w:val="009B7C3F"/>
    <w:rsid w:val="009C00D0"/>
    <w:rsid w:val="009C159A"/>
    <w:rsid w:val="009C1689"/>
    <w:rsid w:val="009C1C52"/>
    <w:rsid w:val="009C1D77"/>
    <w:rsid w:val="009C214A"/>
    <w:rsid w:val="009C254A"/>
    <w:rsid w:val="009C3EB9"/>
    <w:rsid w:val="009C456E"/>
    <w:rsid w:val="009C570A"/>
    <w:rsid w:val="009C64DA"/>
    <w:rsid w:val="009C7A66"/>
    <w:rsid w:val="009D00F8"/>
    <w:rsid w:val="009D0AC5"/>
    <w:rsid w:val="009D1DDC"/>
    <w:rsid w:val="009D1F27"/>
    <w:rsid w:val="009D2811"/>
    <w:rsid w:val="009D2846"/>
    <w:rsid w:val="009D36AB"/>
    <w:rsid w:val="009D37F7"/>
    <w:rsid w:val="009D38E7"/>
    <w:rsid w:val="009D489F"/>
    <w:rsid w:val="009D4E9E"/>
    <w:rsid w:val="009D5F83"/>
    <w:rsid w:val="009D66E9"/>
    <w:rsid w:val="009D68EF"/>
    <w:rsid w:val="009D6A17"/>
    <w:rsid w:val="009D71F4"/>
    <w:rsid w:val="009D75A4"/>
    <w:rsid w:val="009E0555"/>
    <w:rsid w:val="009E0671"/>
    <w:rsid w:val="009E157E"/>
    <w:rsid w:val="009E201E"/>
    <w:rsid w:val="009E24A3"/>
    <w:rsid w:val="009E29BD"/>
    <w:rsid w:val="009E38A6"/>
    <w:rsid w:val="009E3B56"/>
    <w:rsid w:val="009E3B6C"/>
    <w:rsid w:val="009E3BB0"/>
    <w:rsid w:val="009E41D3"/>
    <w:rsid w:val="009E4621"/>
    <w:rsid w:val="009E47EA"/>
    <w:rsid w:val="009E4C37"/>
    <w:rsid w:val="009E4DF9"/>
    <w:rsid w:val="009E5163"/>
    <w:rsid w:val="009E535B"/>
    <w:rsid w:val="009E5EA9"/>
    <w:rsid w:val="009E63AB"/>
    <w:rsid w:val="009E7356"/>
    <w:rsid w:val="009F02D3"/>
    <w:rsid w:val="009F0F96"/>
    <w:rsid w:val="009F2AFE"/>
    <w:rsid w:val="009F34C7"/>
    <w:rsid w:val="009F362A"/>
    <w:rsid w:val="009F3B5F"/>
    <w:rsid w:val="009F3F31"/>
    <w:rsid w:val="009F3FDC"/>
    <w:rsid w:val="009F44AC"/>
    <w:rsid w:val="009F49C1"/>
    <w:rsid w:val="009F4A72"/>
    <w:rsid w:val="009F558C"/>
    <w:rsid w:val="009F56CB"/>
    <w:rsid w:val="009F68FA"/>
    <w:rsid w:val="009F70C1"/>
    <w:rsid w:val="009F72FB"/>
    <w:rsid w:val="00A00476"/>
    <w:rsid w:val="00A00D2B"/>
    <w:rsid w:val="00A02762"/>
    <w:rsid w:val="00A03195"/>
    <w:rsid w:val="00A03355"/>
    <w:rsid w:val="00A03DBA"/>
    <w:rsid w:val="00A048BA"/>
    <w:rsid w:val="00A05620"/>
    <w:rsid w:val="00A05701"/>
    <w:rsid w:val="00A05BE8"/>
    <w:rsid w:val="00A05F3B"/>
    <w:rsid w:val="00A064C4"/>
    <w:rsid w:val="00A069FC"/>
    <w:rsid w:val="00A06CCE"/>
    <w:rsid w:val="00A11F2C"/>
    <w:rsid w:val="00A13135"/>
    <w:rsid w:val="00A14418"/>
    <w:rsid w:val="00A14879"/>
    <w:rsid w:val="00A14FE3"/>
    <w:rsid w:val="00A1612D"/>
    <w:rsid w:val="00A20202"/>
    <w:rsid w:val="00A2065B"/>
    <w:rsid w:val="00A20EB8"/>
    <w:rsid w:val="00A217F6"/>
    <w:rsid w:val="00A219FE"/>
    <w:rsid w:val="00A2219E"/>
    <w:rsid w:val="00A22269"/>
    <w:rsid w:val="00A22467"/>
    <w:rsid w:val="00A23966"/>
    <w:rsid w:val="00A23BFF"/>
    <w:rsid w:val="00A2415E"/>
    <w:rsid w:val="00A24E81"/>
    <w:rsid w:val="00A2525F"/>
    <w:rsid w:val="00A26035"/>
    <w:rsid w:val="00A302B0"/>
    <w:rsid w:val="00A308D9"/>
    <w:rsid w:val="00A30E6B"/>
    <w:rsid w:val="00A31459"/>
    <w:rsid w:val="00A3168D"/>
    <w:rsid w:val="00A32D85"/>
    <w:rsid w:val="00A3365F"/>
    <w:rsid w:val="00A337B8"/>
    <w:rsid w:val="00A34085"/>
    <w:rsid w:val="00A354E4"/>
    <w:rsid w:val="00A355CE"/>
    <w:rsid w:val="00A36500"/>
    <w:rsid w:val="00A37052"/>
    <w:rsid w:val="00A37A8E"/>
    <w:rsid w:val="00A37EB2"/>
    <w:rsid w:val="00A37ED3"/>
    <w:rsid w:val="00A421BF"/>
    <w:rsid w:val="00A42375"/>
    <w:rsid w:val="00A42A19"/>
    <w:rsid w:val="00A42C5E"/>
    <w:rsid w:val="00A451D0"/>
    <w:rsid w:val="00A467CE"/>
    <w:rsid w:val="00A46C60"/>
    <w:rsid w:val="00A46D20"/>
    <w:rsid w:val="00A46E59"/>
    <w:rsid w:val="00A502B6"/>
    <w:rsid w:val="00A507BA"/>
    <w:rsid w:val="00A50C66"/>
    <w:rsid w:val="00A5130D"/>
    <w:rsid w:val="00A52A14"/>
    <w:rsid w:val="00A539C9"/>
    <w:rsid w:val="00A54F81"/>
    <w:rsid w:val="00A55249"/>
    <w:rsid w:val="00A5600B"/>
    <w:rsid w:val="00A56A6A"/>
    <w:rsid w:val="00A570B6"/>
    <w:rsid w:val="00A60392"/>
    <w:rsid w:val="00A60CC7"/>
    <w:rsid w:val="00A60E55"/>
    <w:rsid w:val="00A6296A"/>
    <w:rsid w:val="00A62E3A"/>
    <w:rsid w:val="00A63053"/>
    <w:rsid w:val="00A6325A"/>
    <w:rsid w:val="00A633CA"/>
    <w:rsid w:val="00A63B79"/>
    <w:rsid w:val="00A63D9F"/>
    <w:rsid w:val="00A63DCD"/>
    <w:rsid w:val="00A63E38"/>
    <w:rsid w:val="00A6466C"/>
    <w:rsid w:val="00A646C0"/>
    <w:rsid w:val="00A664A1"/>
    <w:rsid w:val="00A664D0"/>
    <w:rsid w:val="00A676A4"/>
    <w:rsid w:val="00A723C6"/>
    <w:rsid w:val="00A73FD8"/>
    <w:rsid w:val="00A74AC4"/>
    <w:rsid w:val="00A74B34"/>
    <w:rsid w:val="00A75462"/>
    <w:rsid w:val="00A772BD"/>
    <w:rsid w:val="00A77F99"/>
    <w:rsid w:val="00A8233F"/>
    <w:rsid w:val="00A825BA"/>
    <w:rsid w:val="00A83385"/>
    <w:rsid w:val="00A84110"/>
    <w:rsid w:val="00A84478"/>
    <w:rsid w:val="00A845AE"/>
    <w:rsid w:val="00A846ED"/>
    <w:rsid w:val="00A84B97"/>
    <w:rsid w:val="00A84DCC"/>
    <w:rsid w:val="00A85FF8"/>
    <w:rsid w:val="00A863F6"/>
    <w:rsid w:val="00A87505"/>
    <w:rsid w:val="00A875D4"/>
    <w:rsid w:val="00A9014C"/>
    <w:rsid w:val="00A90898"/>
    <w:rsid w:val="00A90CAC"/>
    <w:rsid w:val="00A9158D"/>
    <w:rsid w:val="00A92DA4"/>
    <w:rsid w:val="00A93097"/>
    <w:rsid w:val="00A95953"/>
    <w:rsid w:val="00A95B8E"/>
    <w:rsid w:val="00A961C1"/>
    <w:rsid w:val="00A96F36"/>
    <w:rsid w:val="00AA0412"/>
    <w:rsid w:val="00AA23C4"/>
    <w:rsid w:val="00AA3533"/>
    <w:rsid w:val="00AA378F"/>
    <w:rsid w:val="00AA3DB8"/>
    <w:rsid w:val="00AA3F05"/>
    <w:rsid w:val="00AA4C4B"/>
    <w:rsid w:val="00AA4E43"/>
    <w:rsid w:val="00AA5970"/>
    <w:rsid w:val="00AA7E7A"/>
    <w:rsid w:val="00AB006A"/>
    <w:rsid w:val="00AB112E"/>
    <w:rsid w:val="00AB13F7"/>
    <w:rsid w:val="00AB2B04"/>
    <w:rsid w:val="00AB3778"/>
    <w:rsid w:val="00AB3A32"/>
    <w:rsid w:val="00AB4C8E"/>
    <w:rsid w:val="00AB4FAE"/>
    <w:rsid w:val="00AB4FC0"/>
    <w:rsid w:val="00AB65F2"/>
    <w:rsid w:val="00AB69FA"/>
    <w:rsid w:val="00AB734D"/>
    <w:rsid w:val="00AB742C"/>
    <w:rsid w:val="00AC076F"/>
    <w:rsid w:val="00AC2A6C"/>
    <w:rsid w:val="00AC2D2A"/>
    <w:rsid w:val="00AC2EBF"/>
    <w:rsid w:val="00AC45D7"/>
    <w:rsid w:val="00AC465A"/>
    <w:rsid w:val="00AC4E34"/>
    <w:rsid w:val="00AC4EA5"/>
    <w:rsid w:val="00AC5894"/>
    <w:rsid w:val="00AC5AEC"/>
    <w:rsid w:val="00AC628C"/>
    <w:rsid w:val="00AC629A"/>
    <w:rsid w:val="00AC669E"/>
    <w:rsid w:val="00AC67CC"/>
    <w:rsid w:val="00AC6E9B"/>
    <w:rsid w:val="00AC7ED7"/>
    <w:rsid w:val="00AD2192"/>
    <w:rsid w:val="00AD2438"/>
    <w:rsid w:val="00AD2657"/>
    <w:rsid w:val="00AD2B3E"/>
    <w:rsid w:val="00AD3018"/>
    <w:rsid w:val="00AD3B33"/>
    <w:rsid w:val="00AD3C77"/>
    <w:rsid w:val="00AD48FC"/>
    <w:rsid w:val="00AD5347"/>
    <w:rsid w:val="00AD68BA"/>
    <w:rsid w:val="00AD6AD0"/>
    <w:rsid w:val="00AD6C39"/>
    <w:rsid w:val="00AD7454"/>
    <w:rsid w:val="00AD7F34"/>
    <w:rsid w:val="00AE004C"/>
    <w:rsid w:val="00AE0AF1"/>
    <w:rsid w:val="00AE14CF"/>
    <w:rsid w:val="00AE20D2"/>
    <w:rsid w:val="00AE23C5"/>
    <w:rsid w:val="00AE316F"/>
    <w:rsid w:val="00AE4931"/>
    <w:rsid w:val="00AE4992"/>
    <w:rsid w:val="00AE68D8"/>
    <w:rsid w:val="00AE6A5B"/>
    <w:rsid w:val="00AE7B1C"/>
    <w:rsid w:val="00AE7F59"/>
    <w:rsid w:val="00AF0B56"/>
    <w:rsid w:val="00AF1038"/>
    <w:rsid w:val="00AF15E7"/>
    <w:rsid w:val="00AF1B9E"/>
    <w:rsid w:val="00AF2F31"/>
    <w:rsid w:val="00AF4E9D"/>
    <w:rsid w:val="00AF4EA7"/>
    <w:rsid w:val="00AF5081"/>
    <w:rsid w:val="00AF60C2"/>
    <w:rsid w:val="00AF65E2"/>
    <w:rsid w:val="00AF69A1"/>
    <w:rsid w:val="00AF79B1"/>
    <w:rsid w:val="00B00331"/>
    <w:rsid w:val="00B00B67"/>
    <w:rsid w:val="00B013F0"/>
    <w:rsid w:val="00B01425"/>
    <w:rsid w:val="00B02052"/>
    <w:rsid w:val="00B027EA"/>
    <w:rsid w:val="00B03BA9"/>
    <w:rsid w:val="00B0499B"/>
    <w:rsid w:val="00B0542E"/>
    <w:rsid w:val="00B05FCB"/>
    <w:rsid w:val="00B0616F"/>
    <w:rsid w:val="00B06943"/>
    <w:rsid w:val="00B07E75"/>
    <w:rsid w:val="00B07EC8"/>
    <w:rsid w:val="00B116D9"/>
    <w:rsid w:val="00B119A2"/>
    <w:rsid w:val="00B11A6A"/>
    <w:rsid w:val="00B12185"/>
    <w:rsid w:val="00B124BF"/>
    <w:rsid w:val="00B1272E"/>
    <w:rsid w:val="00B13B59"/>
    <w:rsid w:val="00B14800"/>
    <w:rsid w:val="00B156F9"/>
    <w:rsid w:val="00B16E35"/>
    <w:rsid w:val="00B17D8C"/>
    <w:rsid w:val="00B20896"/>
    <w:rsid w:val="00B21434"/>
    <w:rsid w:val="00B21C72"/>
    <w:rsid w:val="00B2233F"/>
    <w:rsid w:val="00B22616"/>
    <w:rsid w:val="00B26DB3"/>
    <w:rsid w:val="00B278E6"/>
    <w:rsid w:val="00B27AC9"/>
    <w:rsid w:val="00B30C4D"/>
    <w:rsid w:val="00B3103E"/>
    <w:rsid w:val="00B3194E"/>
    <w:rsid w:val="00B31AA5"/>
    <w:rsid w:val="00B31C0E"/>
    <w:rsid w:val="00B3252A"/>
    <w:rsid w:val="00B32C74"/>
    <w:rsid w:val="00B338E9"/>
    <w:rsid w:val="00B33A6E"/>
    <w:rsid w:val="00B35A27"/>
    <w:rsid w:val="00B36151"/>
    <w:rsid w:val="00B3681D"/>
    <w:rsid w:val="00B369B5"/>
    <w:rsid w:val="00B36FF6"/>
    <w:rsid w:val="00B375CD"/>
    <w:rsid w:val="00B37F60"/>
    <w:rsid w:val="00B4073B"/>
    <w:rsid w:val="00B40BB9"/>
    <w:rsid w:val="00B40DA6"/>
    <w:rsid w:val="00B4155F"/>
    <w:rsid w:val="00B437AB"/>
    <w:rsid w:val="00B43B1B"/>
    <w:rsid w:val="00B448FD"/>
    <w:rsid w:val="00B456FA"/>
    <w:rsid w:val="00B45B8D"/>
    <w:rsid w:val="00B45C2C"/>
    <w:rsid w:val="00B46339"/>
    <w:rsid w:val="00B4686E"/>
    <w:rsid w:val="00B46AD6"/>
    <w:rsid w:val="00B46D13"/>
    <w:rsid w:val="00B473E6"/>
    <w:rsid w:val="00B479B5"/>
    <w:rsid w:val="00B50A16"/>
    <w:rsid w:val="00B50C43"/>
    <w:rsid w:val="00B515E5"/>
    <w:rsid w:val="00B51ECD"/>
    <w:rsid w:val="00B5262D"/>
    <w:rsid w:val="00B536CE"/>
    <w:rsid w:val="00B55346"/>
    <w:rsid w:val="00B5561E"/>
    <w:rsid w:val="00B558BA"/>
    <w:rsid w:val="00B55BA5"/>
    <w:rsid w:val="00B5749C"/>
    <w:rsid w:val="00B5772A"/>
    <w:rsid w:val="00B6125C"/>
    <w:rsid w:val="00B6378E"/>
    <w:rsid w:val="00B644E4"/>
    <w:rsid w:val="00B657BC"/>
    <w:rsid w:val="00B65BB0"/>
    <w:rsid w:val="00B67015"/>
    <w:rsid w:val="00B67376"/>
    <w:rsid w:val="00B67D70"/>
    <w:rsid w:val="00B70667"/>
    <w:rsid w:val="00B7117E"/>
    <w:rsid w:val="00B71386"/>
    <w:rsid w:val="00B7198C"/>
    <w:rsid w:val="00B71CD2"/>
    <w:rsid w:val="00B72479"/>
    <w:rsid w:val="00B731B2"/>
    <w:rsid w:val="00B735A1"/>
    <w:rsid w:val="00B73E7D"/>
    <w:rsid w:val="00B7401B"/>
    <w:rsid w:val="00B74133"/>
    <w:rsid w:val="00B74BD2"/>
    <w:rsid w:val="00B760C4"/>
    <w:rsid w:val="00B770E9"/>
    <w:rsid w:val="00B77CE9"/>
    <w:rsid w:val="00B80499"/>
    <w:rsid w:val="00B815A2"/>
    <w:rsid w:val="00B8194B"/>
    <w:rsid w:val="00B81E71"/>
    <w:rsid w:val="00B820D7"/>
    <w:rsid w:val="00B8438F"/>
    <w:rsid w:val="00B84BD6"/>
    <w:rsid w:val="00B86C22"/>
    <w:rsid w:val="00B86E02"/>
    <w:rsid w:val="00B9098A"/>
    <w:rsid w:val="00B90AA1"/>
    <w:rsid w:val="00B91138"/>
    <w:rsid w:val="00B914F1"/>
    <w:rsid w:val="00B922F4"/>
    <w:rsid w:val="00B92A6D"/>
    <w:rsid w:val="00B92C00"/>
    <w:rsid w:val="00B93048"/>
    <w:rsid w:val="00B9357B"/>
    <w:rsid w:val="00B9361C"/>
    <w:rsid w:val="00B936D4"/>
    <w:rsid w:val="00B93D28"/>
    <w:rsid w:val="00B95233"/>
    <w:rsid w:val="00B954E1"/>
    <w:rsid w:val="00B95C0A"/>
    <w:rsid w:val="00B96082"/>
    <w:rsid w:val="00B96B2A"/>
    <w:rsid w:val="00B96C38"/>
    <w:rsid w:val="00B973EF"/>
    <w:rsid w:val="00B973F0"/>
    <w:rsid w:val="00B97422"/>
    <w:rsid w:val="00B97695"/>
    <w:rsid w:val="00B9798C"/>
    <w:rsid w:val="00B97B25"/>
    <w:rsid w:val="00B97EAB"/>
    <w:rsid w:val="00BA0280"/>
    <w:rsid w:val="00BA0671"/>
    <w:rsid w:val="00BA0C58"/>
    <w:rsid w:val="00BA0F98"/>
    <w:rsid w:val="00BA226F"/>
    <w:rsid w:val="00BA2C60"/>
    <w:rsid w:val="00BA2CF5"/>
    <w:rsid w:val="00BA46A7"/>
    <w:rsid w:val="00BA53E3"/>
    <w:rsid w:val="00BA578E"/>
    <w:rsid w:val="00BA58DA"/>
    <w:rsid w:val="00BA5CD9"/>
    <w:rsid w:val="00BA7452"/>
    <w:rsid w:val="00BA7A96"/>
    <w:rsid w:val="00BB0133"/>
    <w:rsid w:val="00BB0AFF"/>
    <w:rsid w:val="00BB10D1"/>
    <w:rsid w:val="00BB1896"/>
    <w:rsid w:val="00BB1AC1"/>
    <w:rsid w:val="00BB1C18"/>
    <w:rsid w:val="00BB3E31"/>
    <w:rsid w:val="00BB5257"/>
    <w:rsid w:val="00BB60DC"/>
    <w:rsid w:val="00BB6B3D"/>
    <w:rsid w:val="00BB79A3"/>
    <w:rsid w:val="00BC0AE1"/>
    <w:rsid w:val="00BC0CFD"/>
    <w:rsid w:val="00BC18C7"/>
    <w:rsid w:val="00BC1FC1"/>
    <w:rsid w:val="00BC322C"/>
    <w:rsid w:val="00BC3EC4"/>
    <w:rsid w:val="00BC51FA"/>
    <w:rsid w:val="00BC59B4"/>
    <w:rsid w:val="00BC6FDB"/>
    <w:rsid w:val="00BC7832"/>
    <w:rsid w:val="00BD01B0"/>
    <w:rsid w:val="00BD0800"/>
    <w:rsid w:val="00BD1347"/>
    <w:rsid w:val="00BD16FD"/>
    <w:rsid w:val="00BD3D40"/>
    <w:rsid w:val="00BD5B3D"/>
    <w:rsid w:val="00BD6288"/>
    <w:rsid w:val="00BD62AB"/>
    <w:rsid w:val="00BD6621"/>
    <w:rsid w:val="00BE03DB"/>
    <w:rsid w:val="00BE0941"/>
    <w:rsid w:val="00BE2EA5"/>
    <w:rsid w:val="00BE3944"/>
    <w:rsid w:val="00BE4FAF"/>
    <w:rsid w:val="00BE63C4"/>
    <w:rsid w:val="00BE6DD3"/>
    <w:rsid w:val="00BE7239"/>
    <w:rsid w:val="00BF1208"/>
    <w:rsid w:val="00BF14AE"/>
    <w:rsid w:val="00BF1772"/>
    <w:rsid w:val="00BF1D1A"/>
    <w:rsid w:val="00BF1F25"/>
    <w:rsid w:val="00BF2F57"/>
    <w:rsid w:val="00BF3917"/>
    <w:rsid w:val="00BF477D"/>
    <w:rsid w:val="00BF5BCB"/>
    <w:rsid w:val="00BF6F26"/>
    <w:rsid w:val="00BF76ED"/>
    <w:rsid w:val="00BF7AF6"/>
    <w:rsid w:val="00C00796"/>
    <w:rsid w:val="00C007B0"/>
    <w:rsid w:val="00C010FE"/>
    <w:rsid w:val="00C0138D"/>
    <w:rsid w:val="00C01F1B"/>
    <w:rsid w:val="00C02A54"/>
    <w:rsid w:val="00C02BA9"/>
    <w:rsid w:val="00C0375C"/>
    <w:rsid w:val="00C03886"/>
    <w:rsid w:val="00C03A77"/>
    <w:rsid w:val="00C043D0"/>
    <w:rsid w:val="00C051C1"/>
    <w:rsid w:val="00C05B28"/>
    <w:rsid w:val="00C07B12"/>
    <w:rsid w:val="00C07BCC"/>
    <w:rsid w:val="00C07D89"/>
    <w:rsid w:val="00C10060"/>
    <w:rsid w:val="00C11648"/>
    <w:rsid w:val="00C1189D"/>
    <w:rsid w:val="00C11C36"/>
    <w:rsid w:val="00C11EFD"/>
    <w:rsid w:val="00C1211F"/>
    <w:rsid w:val="00C1255C"/>
    <w:rsid w:val="00C12765"/>
    <w:rsid w:val="00C127F1"/>
    <w:rsid w:val="00C14FDC"/>
    <w:rsid w:val="00C15146"/>
    <w:rsid w:val="00C153B9"/>
    <w:rsid w:val="00C15601"/>
    <w:rsid w:val="00C159E1"/>
    <w:rsid w:val="00C167D7"/>
    <w:rsid w:val="00C16E0A"/>
    <w:rsid w:val="00C21228"/>
    <w:rsid w:val="00C22DE7"/>
    <w:rsid w:val="00C231AA"/>
    <w:rsid w:val="00C236CA"/>
    <w:rsid w:val="00C23ED2"/>
    <w:rsid w:val="00C2481D"/>
    <w:rsid w:val="00C2498C"/>
    <w:rsid w:val="00C24B1E"/>
    <w:rsid w:val="00C24C91"/>
    <w:rsid w:val="00C252F9"/>
    <w:rsid w:val="00C266D3"/>
    <w:rsid w:val="00C30336"/>
    <w:rsid w:val="00C30425"/>
    <w:rsid w:val="00C31225"/>
    <w:rsid w:val="00C31A2F"/>
    <w:rsid w:val="00C31E2A"/>
    <w:rsid w:val="00C32CE5"/>
    <w:rsid w:val="00C3344B"/>
    <w:rsid w:val="00C33B4F"/>
    <w:rsid w:val="00C340D2"/>
    <w:rsid w:val="00C3573B"/>
    <w:rsid w:val="00C3590F"/>
    <w:rsid w:val="00C35C34"/>
    <w:rsid w:val="00C3604E"/>
    <w:rsid w:val="00C369AC"/>
    <w:rsid w:val="00C36A79"/>
    <w:rsid w:val="00C378A9"/>
    <w:rsid w:val="00C378EC"/>
    <w:rsid w:val="00C404F4"/>
    <w:rsid w:val="00C40C5F"/>
    <w:rsid w:val="00C41AF7"/>
    <w:rsid w:val="00C41B3F"/>
    <w:rsid w:val="00C43B9E"/>
    <w:rsid w:val="00C43D2A"/>
    <w:rsid w:val="00C448B2"/>
    <w:rsid w:val="00C44C23"/>
    <w:rsid w:val="00C45B40"/>
    <w:rsid w:val="00C46997"/>
    <w:rsid w:val="00C4716C"/>
    <w:rsid w:val="00C47C3D"/>
    <w:rsid w:val="00C5171D"/>
    <w:rsid w:val="00C5175B"/>
    <w:rsid w:val="00C51FC6"/>
    <w:rsid w:val="00C5208C"/>
    <w:rsid w:val="00C52C6C"/>
    <w:rsid w:val="00C534FE"/>
    <w:rsid w:val="00C535E5"/>
    <w:rsid w:val="00C545A8"/>
    <w:rsid w:val="00C55096"/>
    <w:rsid w:val="00C552EA"/>
    <w:rsid w:val="00C55D08"/>
    <w:rsid w:val="00C56B3B"/>
    <w:rsid w:val="00C56D96"/>
    <w:rsid w:val="00C57E5E"/>
    <w:rsid w:val="00C61209"/>
    <w:rsid w:val="00C61447"/>
    <w:rsid w:val="00C617B1"/>
    <w:rsid w:val="00C6231E"/>
    <w:rsid w:val="00C624F0"/>
    <w:rsid w:val="00C625CB"/>
    <w:rsid w:val="00C634FE"/>
    <w:rsid w:val="00C6397D"/>
    <w:rsid w:val="00C64FA8"/>
    <w:rsid w:val="00C65E89"/>
    <w:rsid w:val="00C6639F"/>
    <w:rsid w:val="00C67819"/>
    <w:rsid w:val="00C67832"/>
    <w:rsid w:val="00C67CB1"/>
    <w:rsid w:val="00C70EF6"/>
    <w:rsid w:val="00C710D0"/>
    <w:rsid w:val="00C71F91"/>
    <w:rsid w:val="00C72025"/>
    <w:rsid w:val="00C728CD"/>
    <w:rsid w:val="00C72ED6"/>
    <w:rsid w:val="00C73CDE"/>
    <w:rsid w:val="00C75D8B"/>
    <w:rsid w:val="00C76FC3"/>
    <w:rsid w:val="00C777B8"/>
    <w:rsid w:val="00C804F2"/>
    <w:rsid w:val="00C80628"/>
    <w:rsid w:val="00C81792"/>
    <w:rsid w:val="00C81984"/>
    <w:rsid w:val="00C82BB4"/>
    <w:rsid w:val="00C82D4D"/>
    <w:rsid w:val="00C8308A"/>
    <w:rsid w:val="00C832E6"/>
    <w:rsid w:val="00C84054"/>
    <w:rsid w:val="00C84478"/>
    <w:rsid w:val="00C849FF"/>
    <w:rsid w:val="00C8504A"/>
    <w:rsid w:val="00C85253"/>
    <w:rsid w:val="00C85C49"/>
    <w:rsid w:val="00C85C91"/>
    <w:rsid w:val="00C85FCD"/>
    <w:rsid w:val="00C87106"/>
    <w:rsid w:val="00C87F5F"/>
    <w:rsid w:val="00C90507"/>
    <w:rsid w:val="00C90D6B"/>
    <w:rsid w:val="00C9157B"/>
    <w:rsid w:val="00C94AAF"/>
    <w:rsid w:val="00C94D7D"/>
    <w:rsid w:val="00C95A2A"/>
    <w:rsid w:val="00C95D10"/>
    <w:rsid w:val="00C9606C"/>
    <w:rsid w:val="00C9617A"/>
    <w:rsid w:val="00C97764"/>
    <w:rsid w:val="00CA0543"/>
    <w:rsid w:val="00CA1E90"/>
    <w:rsid w:val="00CA3C72"/>
    <w:rsid w:val="00CA3FAE"/>
    <w:rsid w:val="00CA438F"/>
    <w:rsid w:val="00CA5433"/>
    <w:rsid w:val="00CA64B8"/>
    <w:rsid w:val="00CA6825"/>
    <w:rsid w:val="00CA77C7"/>
    <w:rsid w:val="00CB1957"/>
    <w:rsid w:val="00CB1BEE"/>
    <w:rsid w:val="00CB2448"/>
    <w:rsid w:val="00CB25EC"/>
    <w:rsid w:val="00CB2A74"/>
    <w:rsid w:val="00CB343E"/>
    <w:rsid w:val="00CB396F"/>
    <w:rsid w:val="00CB3FFD"/>
    <w:rsid w:val="00CB441C"/>
    <w:rsid w:val="00CB5EA6"/>
    <w:rsid w:val="00CB6A7B"/>
    <w:rsid w:val="00CB75D2"/>
    <w:rsid w:val="00CC09CF"/>
    <w:rsid w:val="00CC1120"/>
    <w:rsid w:val="00CC1369"/>
    <w:rsid w:val="00CC1439"/>
    <w:rsid w:val="00CC1CD8"/>
    <w:rsid w:val="00CC1DC8"/>
    <w:rsid w:val="00CC3A22"/>
    <w:rsid w:val="00CC4398"/>
    <w:rsid w:val="00CC548A"/>
    <w:rsid w:val="00CC59C6"/>
    <w:rsid w:val="00CC6801"/>
    <w:rsid w:val="00CC70A3"/>
    <w:rsid w:val="00CC7DEE"/>
    <w:rsid w:val="00CD0B26"/>
    <w:rsid w:val="00CD2128"/>
    <w:rsid w:val="00CD247D"/>
    <w:rsid w:val="00CD498C"/>
    <w:rsid w:val="00CD52A3"/>
    <w:rsid w:val="00CD5785"/>
    <w:rsid w:val="00CD5979"/>
    <w:rsid w:val="00CD5D3A"/>
    <w:rsid w:val="00CD713E"/>
    <w:rsid w:val="00CD7263"/>
    <w:rsid w:val="00CD7571"/>
    <w:rsid w:val="00CE0293"/>
    <w:rsid w:val="00CE0FEE"/>
    <w:rsid w:val="00CE1C4E"/>
    <w:rsid w:val="00CE1D3B"/>
    <w:rsid w:val="00CE20F5"/>
    <w:rsid w:val="00CE2D2A"/>
    <w:rsid w:val="00CE40B1"/>
    <w:rsid w:val="00CE4644"/>
    <w:rsid w:val="00CE481C"/>
    <w:rsid w:val="00CE4AA3"/>
    <w:rsid w:val="00CE5FF4"/>
    <w:rsid w:val="00CE6289"/>
    <w:rsid w:val="00CE6828"/>
    <w:rsid w:val="00CF07F9"/>
    <w:rsid w:val="00CF0AF7"/>
    <w:rsid w:val="00CF20A4"/>
    <w:rsid w:val="00CF395F"/>
    <w:rsid w:val="00CF3B59"/>
    <w:rsid w:val="00CF3C6E"/>
    <w:rsid w:val="00CF4331"/>
    <w:rsid w:val="00CF52D1"/>
    <w:rsid w:val="00CF531E"/>
    <w:rsid w:val="00CF604B"/>
    <w:rsid w:val="00CF62D9"/>
    <w:rsid w:val="00CF66D8"/>
    <w:rsid w:val="00CF742C"/>
    <w:rsid w:val="00CF78B6"/>
    <w:rsid w:val="00CF7F3C"/>
    <w:rsid w:val="00D00E91"/>
    <w:rsid w:val="00D01302"/>
    <w:rsid w:val="00D013EA"/>
    <w:rsid w:val="00D014A1"/>
    <w:rsid w:val="00D015A6"/>
    <w:rsid w:val="00D01F7E"/>
    <w:rsid w:val="00D02200"/>
    <w:rsid w:val="00D023A6"/>
    <w:rsid w:val="00D04379"/>
    <w:rsid w:val="00D046DE"/>
    <w:rsid w:val="00D0501A"/>
    <w:rsid w:val="00D05482"/>
    <w:rsid w:val="00D05B34"/>
    <w:rsid w:val="00D066D2"/>
    <w:rsid w:val="00D06956"/>
    <w:rsid w:val="00D06B00"/>
    <w:rsid w:val="00D07732"/>
    <w:rsid w:val="00D07E9A"/>
    <w:rsid w:val="00D10330"/>
    <w:rsid w:val="00D106C5"/>
    <w:rsid w:val="00D107BD"/>
    <w:rsid w:val="00D10DC9"/>
    <w:rsid w:val="00D11267"/>
    <w:rsid w:val="00D12059"/>
    <w:rsid w:val="00D1225B"/>
    <w:rsid w:val="00D15045"/>
    <w:rsid w:val="00D15F2A"/>
    <w:rsid w:val="00D17187"/>
    <w:rsid w:val="00D204CD"/>
    <w:rsid w:val="00D20AAF"/>
    <w:rsid w:val="00D21445"/>
    <w:rsid w:val="00D21E6B"/>
    <w:rsid w:val="00D235AE"/>
    <w:rsid w:val="00D23908"/>
    <w:rsid w:val="00D23C76"/>
    <w:rsid w:val="00D244EF"/>
    <w:rsid w:val="00D253E4"/>
    <w:rsid w:val="00D26232"/>
    <w:rsid w:val="00D26490"/>
    <w:rsid w:val="00D26CA4"/>
    <w:rsid w:val="00D2769E"/>
    <w:rsid w:val="00D3038D"/>
    <w:rsid w:val="00D30A8C"/>
    <w:rsid w:val="00D3143B"/>
    <w:rsid w:val="00D31C00"/>
    <w:rsid w:val="00D32162"/>
    <w:rsid w:val="00D3230B"/>
    <w:rsid w:val="00D3270D"/>
    <w:rsid w:val="00D32B9A"/>
    <w:rsid w:val="00D33EFC"/>
    <w:rsid w:val="00D3473F"/>
    <w:rsid w:val="00D3486E"/>
    <w:rsid w:val="00D34C35"/>
    <w:rsid w:val="00D34C91"/>
    <w:rsid w:val="00D3583E"/>
    <w:rsid w:val="00D35A11"/>
    <w:rsid w:val="00D3785F"/>
    <w:rsid w:val="00D3799E"/>
    <w:rsid w:val="00D37AFB"/>
    <w:rsid w:val="00D40207"/>
    <w:rsid w:val="00D403C2"/>
    <w:rsid w:val="00D41823"/>
    <w:rsid w:val="00D4236B"/>
    <w:rsid w:val="00D4268C"/>
    <w:rsid w:val="00D428A2"/>
    <w:rsid w:val="00D429E8"/>
    <w:rsid w:val="00D43995"/>
    <w:rsid w:val="00D44191"/>
    <w:rsid w:val="00D452D3"/>
    <w:rsid w:val="00D45461"/>
    <w:rsid w:val="00D45761"/>
    <w:rsid w:val="00D45BEF"/>
    <w:rsid w:val="00D46727"/>
    <w:rsid w:val="00D46F41"/>
    <w:rsid w:val="00D470DA"/>
    <w:rsid w:val="00D47A42"/>
    <w:rsid w:val="00D50282"/>
    <w:rsid w:val="00D502C8"/>
    <w:rsid w:val="00D50417"/>
    <w:rsid w:val="00D50A54"/>
    <w:rsid w:val="00D5191B"/>
    <w:rsid w:val="00D51B74"/>
    <w:rsid w:val="00D52083"/>
    <w:rsid w:val="00D52373"/>
    <w:rsid w:val="00D52784"/>
    <w:rsid w:val="00D52AE4"/>
    <w:rsid w:val="00D534BF"/>
    <w:rsid w:val="00D54430"/>
    <w:rsid w:val="00D54B60"/>
    <w:rsid w:val="00D54CD1"/>
    <w:rsid w:val="00D553E7"/>
    <w:rsid w:val="00D56C0A"/>
    <w:rsid w:val="00D57112"/>
    <w:rsid w:val="00D5753A"/>
    <w:rsid w:val="00D60782"/>
    <w:rsid w:val="00D60C78"/>
    <w:rsid w:val="00D615A8"/>
    <w:rsid w:val="00D622A4"/>
    <w:rsid w:val="00D6293B"/>
    <w:rsid w:val="00D643FE"/>
    <w:rsid w:val="00D64628"/>
    <w:rsid w:val="00D64A80"/>
    <w:rsid w:val="00D65E7C"/>
    <w:rsid w:val="00D667E0"/>
    <w:rsid w:val="00D6768B"/>
    <w:rsid w:val="00D67A4B"/>
    <w:rsid w:val="00D67A96"/>
    <w:rsid w:val="00D70109"/>
    <w:rsid w:val="00D7074A"/>
    <w:rsid w:val="00D708A2"/>
    <w:rsid w:val="00D70D3F"/>
    <w:rsid w:val="00D71919"/>
    <w:rsid w:val="00D72620"/>
    <w:rsid w:val="00D74058"/>
    <w:rsid w:val="00D75219"/>
    <w:rsid w:val="00D757E9"/>
    <w:rsid w:val="00D75A9D"/>
    <w:rsid w:val="00D75B3E"/>
    <w:rsid w:val="00D75C48"/>
    <w:rsid w:val="00D76675"/>
    <w:rsid w:val="00D76B4C"/>
    <w:rsid w:val="00D76E04"/>
    <w:rsid w:val="00D77DAD"/>
    <w:rsid w:val="00D805B0"/>
    <w:rsid w:val="00D80775"/>
    <w:rsid w:val="00D80B38"/>
    <w:rsid w:val="00D82162"/>
    <w:rsid w:val="00D828F9"/>
    <w:rsid w:val="00D82F08"/>
    <w:rsid w:val="00D832DF"/>
    <w:rsid w:val="00D83FBD"/>
    <w:rsid w:val="00D85A65"/>
    <w:rsid w:val="00D85D3C"/>
    <w:rsid w:val="00D87340"/>
    <w:rsid w:val="00D87B92"/>
    <w:rsid w:val="00D87DCB"/>
    <w:rsid w:val="00D87FC4"/>
    <w:rsid w:val="00D900CD"/>
    <w:rsid w:val="00D911AE"/>
    <w:rsid w:val="00D91978"/>
    <w:rsid w:val="00D91E34"/>
    <w:rsid w:val="00D9347E"/>
    <w:rsid w:val="00D93B1D"/>
    <w:rsid w:val="00D9543D"/>
    <w:rsid w:val="00D9595F"/>
    <w:rsid w:val="00D96AB6"/>
    <w:rsid w:val="00D9764F"/>
    <w:rsid w:val="00D979AE"/>
    <w:rsid w:val="00DA088F"/>
    <w:rsid w:val="00DA0B95"/>
    <w:rsid w:val="00DA0C69"/>
    <w:rsid w:val="00DA24CD"/>
    <w:rsid w:val="00DA3E45"/>
    <w:rsid w:val="00DA4330"/>
    <w:rsid w:val="00DA551B"/>
    <w:rsid w:val="00DA5569"/>
    <w:rsid w:val="00DA562F"/>
    <w:rsid w:val="00DA5CB0"/>
    <w:rsid w:val="00DA6853"/>
    <w:rsid w:val="00DA7DF1"/>
    <w:rsid w:val="00DB13AF"/>
    <w:rsid w:val="00DB3487"/>
    <w:rsid w:val="00DB3B6A"/>
    <w:rsid w:val="00DB3ED0"/>
    <w:rsid w:val="00DB5032"/>
    <w:rsid w:val="00DB5754"/>
    <w:rsid w:val="00DB59A6"/>
    <w:rsid w:val="00DB5FA8"/>
    <w:rsid w:val="00DB631D"/>
    <w:rsid w:val="00DB6523"/>
    <w:rsid w:val="00DB68AD"/>
    <w:rsid w:val="00DB7F11"/>
    <w:rsid w:val="00DC1005"/>
    <w:rsid w:val="00DC267D"/>
    <w:rsid w:val="00DC31FE"/>
    <w:rsid w:val="00DC333A"/>
    <w:rsid w:val="00DC43F3"/>
    <w:rsid w:val="00DC50BB"/>
    <w:rsid w:val="00DC51E5"/>
    <w:rsid w:val="00DC520E"/>
    <w:rsid w:val="00DC55EB"/>
    <w:rsid w:val="00DC5A19"/>
    <w:rsid w:val="00DC5C08"/>
    <w:rsid w:val="00DC62E1"/>
    <w:rsid w:val="00DC6697"/>
    <w:rsid w:val="00DC7C1B"/>
    <w:rsid w:val="00DC7FFB"/>
    <w:rsid w:val="00DD048F"/>
    <w:rsid w:val="00DD119C"/>
    <w:rsid w:val="00DD15EB"/>
    <w:rsid w:val="00DD1777"/>
    <w:rsid w:val="00DD21C1"/>
    <w:rsid w:val="00DD284F"/>
    <w:rsid w:val="00DD2883"/>
    <w:rsid w:val="00DD3616"/>
    <w:rsid w:val="00DD4683"/>
    <w:rsid w:val="00DD6D92"/>
    <w:rsid w:val="00DD753C"/>
    <w:rsid w:val="00DD7C39"/>
    <w:rsid w:val="00DE0860"/>
    <w:rsid w:val="00DE2EDE"/>
    <w:rsid w:val="00DE3CAB"/>
    <w:rsid w:val="00DE47AD"/>
    <w:rsid w:val="00DE4A6D"/>
    <w:rsid w:val="00DE4BE4"/>
    <w:rsid w:val="00DE5E8D"/>
    <w:rsid w:val="00DE604E"/>
    <w:rsid w:val="00DE6361"/>
    <w:rsid w:val="00DE70BF"/>
    <w:rsid w:val="00DE7878"/>
    <w:rsid w:val="00DF0761"/>
    <w:rsid w:val="00DF0C16"/>
    <w:rsid w:val="00DF2428"/>
    <w:rsid w:val="00DF2612"/>
    <w:rsid w:val="00DF2A21"/>
    <w:rsid w:val="00DF2BE2"/>
    <w:rsid w:val="00DF45D8"/>
    <w:rsid w:val="00DF4B0C"/>
    <w:rsid w:val="00DF539D"/>
    <w:rsid w:val="00DF5799"/>
    <w:rsid w:val="00DF631D"/>
    <w:rsid w:val="00DF638A"/>
    <w:rsid w:val="00DF723F"/>
    <w:rsid w:val="00DF7285"/>
    <w:rsid w:val="00DF7FA8"/>
    <w:rsid w:val="00E009AE"/>
    <w:rsid w:val="00E00ACD"/>
    <w:rsid w:val="00E02BD6"/>
    <w:rsid w:val="00E0345C"/>
    <w:rsid w:val="00E03598"/>
    <w:rsid w:val="00E03C8B"/>
    <w:rsid w:val="00E03E40"/>
    <w:rsid w:val="00E042B1"/>
    <w:rsid w:val="00E04575"/>
    <w:rsid w:val="00E04B70"/>
    <w:rsid w:val="00E04D51"/>
    <w:rsid w:val="00E0657E"/>
    <w:rsid w:val="00E06ADC"/>
    <w:rsid w:val="00E07DD3"/>
    <w:rsid w:val="00E103C6"/>
    <w:rsid w:val="00E10ACF"/>
    <w:rsid w:val="00E11B93"/>
    <w:rsid w:val="00E12185"/>
    <w:rsid w:val="00E1245E"/>
    <w:rsid w:val="00E125F6"/>
    <w:rsid w:val="00E12920"/>
    <w:rsid w:val="00E14337"/>
    <w:rsid w:val="00E143A1"/>
    <w:rsid w:val="00E14B9A"/>
    <w:rsid w:val="00E15DB3"/>
    <w:rsid w:val="00E1615D"/>
    <w:rsid w:val="00E16EB2"/>
    <w:rsid w:val="00E17518"/>
    <w:rsid w:val="00E1763D"/>
    <w:rsid w:val="00E20017"/>
    <w:rsid w:val="00E20887"/>
    <w:rsid w:val="00E20DDF"/>
    <w:rsid w:val="00E22AB0"/>
    <w:rsid w:val="00E22C52"/>
    <w:rsid w:val="00E23243"/>
    <w:rsid w:val="00E2361C"/>
    <w:rsid w:val="00E24313"/>
    <w:rsid w:val="00E24ACD"/>
    <w:rsid w:val="00E25966"/>
    <w:rsid w:val="00E278A0"/>
    <w:rsid w:val="00E30042"/>
    <w:rsid w:val="00E30B97"/>
    <w:rsid w:val="00E31AB6"/>
    <w:rsid w:val="00E32375"/>
    <w:rsid w:val="00E32470"/>
    <w:rsid w:val="00E328CD"/>
    <w:rsid w:val="00E3293F"/>
    <w:rsid w:val="00E32B8B"/>
    <w:rsid w:val="00E32DE6"/>
    <w:rsid w:val="00E32E2E"/>
    <w:rsid w:val="00E346AE"/>
    <w:rsid w:val="00E36AAF"/>
    <w:rsid w:val="00E37927"/>
    <w:rsid w:val="00E40349"/>
    <w:rsid w:val="00E40476"/>
    <w:rsid w:val="00E4207E"/>
    <w:rsid w:val="00E42F3B"/>
    <w:rsid w:val="00E4363F"/>
    <w:rsid w:val="00E4375A"/>
    <w:rsid w:val="00E437B9"/>
    <w:rsid w:val="00E4410F"/>
    <w:rsid w:val="00E44CC8"/>
    <w:rsid w:val="00E44EA3"/>
    <w:rsid w:val="00E44EAF"/>
    <w:rsid w:val="00E44FDA"/>
    <w:rsid w:val="00E4504A"/>
    <w:rsid w:val="00E45620"/>
    <w:rsid w:val="00E45821"/>
    <w:rsid w:val="00E45CF3"/>
    <w:rsid w:val="00E466A2"/>
    <w:rsid w:val="00E46CD6"/>
    <w:rsid w:val="00E47D44"/>
    <w:rsid w:val="00E503FC"/>
    <w:rsid w:val="00E511AB"/>
    <w:rsid w:val="00E512D9"/>
    <w:rsid w:val="00E516DF"/>
    <w:rsid w:val="00E524A0"/>
    <w:rsid w:val="00E531FF"/>
    <w:rsid w:val="00E53C9D"/>
    <w:rsid w:val="00E55367"/>
    <w:rsid w:val="00E55913"/>
    <w:rsid w:val="00E55A15"/>
    <w:rsid w:val="00E569B3"/>
    <w:rsid w:val="00E56EDA"/>
    <w:rsid w:val="00E571D9"/>
    <w:rsid w:val="00E61009"/>
    <w:rsid w:val="00E62157"/>
    <w:rsid w:val="00E62243"/>
    <w:rsid w:val="00E62937"/>
    <w:rsid w:val="00E6357B"/>
    <w:rsid w:val="00E6378E"/>
    <w:rsid w:val="00E63AF7"/>
    <w:rsid w:val="00E66377"/>
    <w:rsid w:val="00E672B2"/>
    <w:rsid w:val="00E70814"/>
    <w:rsid w:val="00E71BA7"/>
    <w:rsid w:val="00E72611"/>
    <w:rsid w:val="00E72A58"/>
    <w:rsid w:val="00E72F93"/>
    <w:rsid w:val="00E739E8"/>
    <w:rsid w:val="00E744BD"/>
    <w:rsid w:val="00E75A9F"/>
    <w:rsid w:val="00E75CF5"/>
    <w:rsid w:val="00E800B3"/>
    <w:rsid w:val="00E80164"/>
    <w:rsid w:val="00E81803"/>
    <w:rsid w:val="00E819FF"/>
    <w:rsid w:val="00E83023"/>
    <w:rsid w:val="00E830AB"/>
    <w:rsid w:val="00E833ED"/>
    <w:rsid w:val="00E83592"/>
    <w:rsid w:val="00E83AC9"/>
    <w:rsid w:val="00E83D7E"/>
    <w:rsid w:val="00E84537"/>
    <w:rsid w:val="00E85953"/>
    <w:rsid w:val="00E85BA9"/>
    <w:rsid w:val="00E86925"/>
    <w:rsid w:val="00E86BA4"/>
    <w:rsid w:val="00E86C9B"/>
    <w:rsid w:val="00E86D80"/>
    <w:rsid w:val="00E87185"/>
    <w:rsid w:val="00E87EBF"/>
    <w:rsid w:val="00E903C2"/>
    <w:rsid w:val="00E90467"/>
    <w:rsid w:val="00E90906"/>
    <w:rsid w:val="00E9139E"/>
    <w:rsid w:val="00E91973"/>
    <w:rsid w:val="00E9200E"/>
    <w:rsid w:val="00E9218E"/>
    <w:rsid w:val="00E92D8E"/>
    <w:rsid w:val="00E92DE0"/>
    <w:rsid w:val="00E93265"/>
    <w:rsid w:val="00E938A5"/>
    <w:rsid w:val="00E945D9"/>
    <w:rsid w:val="00E9500D"/>
    <w:rsid w:val="00E950BC"/>
    <w:rsid w:val="00E96616"/>
    <w:rsid w:val="00EA0586"/>
    <w:rsid w:val="00EA0F0F"/>
    <w:rsid w:val="00EA1277"/>
    <w:rsid w:val="00EA157E"/>
    <w:rsid w:val="00EA1AF7"/>
    <w:rsid w:val="00EA25A6"/>
    <w:rsid w:val="00EA2BC4"/>
    <w:rsid w:val="00EA3FE6"/>
    <w:rsid w:val="00EA40F0"/>
    <w:rsid w:val="00EA4324"/>
    <w:rsid w:val="00EA4764"/>
    <w:rsid w:val="00EA49FE"/>
    <w:rsid w:val="00EA4F3E"/>
    <w:rsid w:val="00EA5205"/>
    <w:rsid w:val="00EA6DA1"/>
    <w:rsid w:val="00EA6F5D"/>
    <w:rsid w:val="00EB002A"/>
    <w:rsid w:val="00EB0E2F"/>
    <w:rsid w:val="00EB0F50"/>
    <w:rsid w:val="00EB113E"/>
    <w:rsid w:val="00EB1458"/>
    <w:rsid w:val="00EB197A"/>
    <w:rsid w:val="00EB36FE"/>
    <w:rsid w:val="00EB3DEE"/>
    <w:rsid w:val="00EB4154"/>
    <w:rsid w:val="00EB4762"/>
    <w:rsid w:val="00EB4B3C"/>
    <w:rsid w:val="00EB4D1C"/>
    <w:rsid w:val="00EB4D23"/>
    <w:rsid w:val="00EB4DD4"/>
    <w:rsid w:val="00EB501C"/>
    <w:rsid w:val="00EB5565"/>
    <w:rsid w:val="00EB64EC"/>
    <w:rsid w:val="00EB6612"/>
    <w:rsid w:val="00EB6A21"/>
    <w:rsid w:val="00EB775F"/>
    <w:rsid w:val="00EC14BE"/>
    <w:rsid w:val="00EC21F1"/>
    <w:rsid w:val="00EC2F10"/>
    <w:rsid w:val="00EC330E"/>
    <w:rsid w:val="00EC34A6"/>
    <w:rsid w:val="00EC3831"/>
    <w:rsid w:val="00EC4948"/>
    <w:rsid w:val="00EC4ED3"/>
    <w:rsid w:val="00EC565B"/>
    <w:rsid w:val="00EC5771"/>
    <w:rsid w:val="00EC587D"/>
    <w:rsid w:val="00EC58A3"/>
    <w:rsid w:val="00EC7881"/>
    <w:rsid w:val="00EC7A50"/>
    <w:rsid w:val="00EC7A7B"/>
    <w:rsid w:val="00EC7FAC"/>
    <w:rsid w:val="00ED0789"/>
    <w:rsid w:val="00ED3CCC"/>
    <w:rsid w:val="00ED6638"/>
    <w:rsid w:val="00ED7404"/>
    <w:rsid w:val="00ED7F64"/>
    <w:rsid w:val="00EE1BBB"/>
    <w:rsid w:val="00EE1BD0"/>
    <w:rsid w:val="00EE1EFD"/>
    <w:rsid w:val="00EE230A"/>
    <w:rsid w:val="00EE4688"/>
    <w:rsid w:val="00EE47D3"/>
    <w:rsid w:val="00EE5119"/>
    <w:rsid w:val="00EE5AED"/>
    <w:rsid w:val="00EE6E8C"/>
    <w:rsid w:val="00EE7586"/>
    <w:rsid w:val="00EE7ED3"/>
    <w:rsid w:val="00EF0634"/>
    <w:rsid w:val="00EF0DBD"/>
    <w:rsid w:val="00EF0E64"/>
    <w:rsid w:val="00EF1342"/>
    <w:rsid w:val="00EF1359"/>
    <w:rsid w:val="00EF1D03"/>
    <w:rsid w:val="00EF4274"/>
    <w:rsid w:val="00EF48CE"/>
    <w:rsid w:val="00EF5191"/>
    <w:rsid w:val="00EF5D99"/>
    <w:rsid w:val="00EF651B"/>
    <w:rsid w:val="00EF6528"/>
    <w:rsid w:val="00F00344"/>
    <w:rsid w:val="00F00B0F"/>
    <w:rsid w:val="00F01109"/>
    <w:rsid w:val="00F018AA"/>
    <w:rsid w:val="00F028FD"/>
    <w:rsid w:val="00F02BF5"/>
    <w:rsid w:val="00F02F16"/>
    <w:rsid w:val="00F02FA3"/>
    <w:rsid w:val="00F04592"/>
    <w:rsid w:val="00F06525"/>
    <w:rsid w:val="00F07019"/>
    <w:rsid w:val="00F074D4"/>
    <w:rsid w:val="00F07AF5"/>
    <w:rsid w:val="00F07C3A"/>
    <w:rsid w:val="00F10147"/>
    <w:rsid w:val="00F11427"/>
    <w:rsid w:val="00F11556"/>
    <w:rsid w:val="00F11D10"/>
    <w:rsid w:val="00F11FA8"/>
    <w:rsid w:val="00F13866"/>
    <w:rsid w:val="00F145A5"/>
    <w:rsid w:val="00F1469F"/>
    <w:rsid w:val="00F157BB"/>
    <w:rsid w:val="00F15E4B"/>
    <w:rsid w:val="00F16091"/>
    <w:rsid w:val="00F16842"/>
    <w:rsid w:val="00F16878"/>
    <w:rsid w:val="00F168ED"/>
    <w:rsid w:val="00F16B59"/>
    <w:rsid w:val="00F224C1"/>
    <w:rsid w:val="00F2259C"/>
    <w:rsid w:val="00F2350F"/>
    <w:rsid w:val="00F24E21"/>
    <w:rsid w:val="00F25097"/>
    <w:rsid w:val="00F25D4F"/>
    <w:rsid w:val="00F25EEE"/>
    <w:rsid w:val="00F26045"/>
    <w:rsid w:val="00F263A5"/>
    <w:rsid w:val="00F26454"/>
    <w:rsid w:val="00F27329"/>
    <w:rsid w:val="00F27BFD"/>
    <w:rsid w:val="00F304C8"/>
    <w:rsid w:val="00F30B6F"/>
    <w:rsid w:val="00F32C31"/>
    <w:rsid w:val="00F32E5F"/>
    <w:rsid w:val="00F32FCF"/>
    <w:rsid w:val="00F3366E"/>
    <w:rsid w:val="00F33FFA"/>
    <w:rsid w:val="00F4015F"/>
    <w:rsid w:val="00F406C0"/>
    <w:rsid w:val="00F41478"/>
    <w:rsid w:val="00F4277F"/>
    <w:rsid w:val="00F437BA"/>
    <w:rsid w:val="00F43DF3"/>
    <w:rsid w:val="00F446A5"/>
    <w:rsid w:val="00F46811"/>
    <w:rsid w:val="00F50292"/>
    <w:rsid w:val="00F502CF"/>
    <w:rsid w:val="00F5095B"/>
    <w:rsid w:val="00F50F9C"/>
    <w:rsid w:val="00F51584"/>
    <w:rsid w:val="00F51BE6"/>
    <w:rsid w:val="00F527AB"/>
    <w:rsid w:val="00F53009"/>
    <w:rsid w:val="00F531F3"/>
    <w:rsid w:val="00F534DE"/>
    <w:rsid w:val="00F542C8"/>
    <w:rsid w:val="00F5512A"/>
    <w:rsid w:val="00F55425"/>
    <w:rsid w:val="00F5578A"/>
    <w:rsid w:val="00F56E9F"/>
    <w:rsid w:val="00F5738C"/>
    <w:rsid w:val="00F57F82"/>
    <w:rsid w:val="00F60318"/>
    <w:rsid w:val="00F607AE"/>
    <w:rsid w:val="00F60E35"/>
    <w:rsid w:val="00F60F9B"/>
    <w:rsid w:val="00F6130D"/>
    <w:rsid w:val="00F614AF"/>
    <w:rsid w:val="00F6229B"/>
    <w:rsid w:val="00F62FF1"/>
    <w:rsid w:val="00F63DBD"/>
    <w:rsid w:val="00F659F7"/>
    <w:rsid w:val="00F65BC4"/>
    <w:rsid w:val="00F677D7"/>
    <w:rsid w:val="00F67AF9"/>
    <w:rsid w:val="00F7011F"/>
    <w:rsid w:val="00F70457"/>
    <w:rsid w:val="00F714DF"/>
    <w:rsid w:val="00F71930"/>
    <w:rsid w:val="00F71CB3"/>
    <w:rsid w:val="00F72480"/>
    <w:rsid w:val="00F730A9"/>
    <w:rsid w:val="00F7336C"/>
    <w:rsid w:val="00F73492"/>
    <w:rsid w:val="00F740BC"/>
    <w:rsid w:val="00F75F5B"/>
    <w:rsid w:val="00F75FD1"/>
    <w:rsid w:val="00F762A8"/>
    <w:rsid w:val="00F76535"/>
    <w:rsid w:val="00F76862"/>
    <w:rsid w:val="00F768BD"/>
    <w:rsid w:val="00F77C90"/>
    <w:rsid w:val="00F77CE6"/>
    <w:rsid w:val="00F8045D"/>
    <w:rsid w:val="00F80494"/>
    <w:rsid w:val="00F80671"/>
    <w:rsid w:val="00F819FE"/>
    <w:rsid w:val="00F8255F"/>
    <w:rsid w:val="00F82806"/>
    <w:rsid w:val="00F82A79"/>
    <w:rsid w:val="00F82DF7"/>
    <w:rsid w:val="00F8332D"/>
    <w:rsid w:val="00F84865"/>
    <w:rsid w:val="00F85192"/>
    <w:rsid w:val="00F86789"/>
    <w:rsid w:val="00F87014"/>
    <w:rsid w:val="00F9010A"/>
    <w:rsid w:val="00F902DB"/>
    <w:rsid w:val="00F915EE"/>
    <w:rsid w:val="00F919B0"/>
    <w:rsid w:val="00F9214E"/>
    <w:rsid w:val="00F93CD7"/>
    <w:rsid w:val="00F959F2"/>
    <w:rsid w:val="00F95DE9"/>
    <w:rsid w:val="00F969BF"/>
    <w:rsid w:val="00F972C6"/>
    <w:rsid w:val="00FA04FC"/>
    <w:rsid w:val="00FA11D5"/>
    <w:rsid w:val="00FA1267"/>
    <w:rsid w:val="00FA34E4"/>
    <w:rsid w:val="00FA3837"/>
    <w:rsid w:val="00FA3B2C"/>
    <w:rsid w:val="00FA5CDA"/>
    <w:rsid w:val="00FA6AF7"/>
    <w:rsid w:val="00FA6E50"/>
    <w:rsid w:val="00FA7487"/>
    <w:rsid w:val="00FA78E0"/>
    <w:rsid w:val="00FA79A7"/>
    <w:rsid w:val="00FB0173"/>
    <w:rsid w:val="00FB0350"/>
    <w:rsid w:val="00FB0550"/>
    <w:rsid w:val="00FB0962"/>
    <w:rsid w:val="00FB0B75"/>
    <w:rsid w:val="00FB0BE8"/>
    <w:rsid w:val="00FB1007"/>
    <w:rsid w:val="00FB16AC"/>
    <w:rsid w:val="00FB16C3"/>
    <w:rsid w:val="00FB3D4E"/>
    <w:rsid w:val="00FB43BF"/>
    <w:rsid w:val="00FB4FF2"/>
    <w:rsid w:val="00FB6168"/>
    <w:rsid w:val="00FB78E3"/>
    <w:rsid w:val="00FB7A03"/>
    <w:rsid w:val="00FB7DA5"/>
    <w:rsid w:val="00FB7E8C"/>
    <w:rsid w:val="00FC0A47"/>
    <w:rsid w:val="00FC0B36"/>
    <w:rsid w:val="00FC1C0D"/>
    <w:rsid w:val="00FC2203"/>
    <w:rsid w:val="00FC3123"/>
    <w:rsid w:val="00FC312B"/>
    <w:rsid w:val="00FC33E9"/>
    <w:rsid w:val="00FC65FA"/>
    <w:rsid w:val="00FC6641"/>
    <w:rsid w:val="00FC6712"/>
    <w:rsid w:val="00FC7BA5"/>
    <w:rsid w:val="00FD001E"/>
    <w:rsid w:val="00FD016B"/>
    <w:rsid w:val="00FD0A7A"/>
    <w:rsid w:val="00FD0ED7"/>
    <w:rsid w:val="00FD12A5"/>
    <w:rsid w:val="00FD13CC"/>
    <w:rsid w:val="00FD1591"/>
    <w:rsid w:val="00FD3102"/>
    <w:rsid w:val="00FD3957"/>
    <w:rsid w:val="00FD552B"/>
    <w:rsid w:val="00FD5793"/>
    <w:rsid w:val="00FD5831"/>
    <w:rsid w:val="00FD67D6"/>
    <w:rsid w:val="00FD6A03"/>
    <w:rsid w:val="00FD6BF8"/>
    <w:rsid w:val="00FD7E94"/>
    <w:rsid w:val="00FE064B"/>
    <w:rsid w:val="00FE1267"/>
    <w:rsid w:val="00FE16EF"/>
    <w:rsid w:val="00FE22D4"/>
    <w:rsid w:val="00FE25F2"/>
    <w:rsid w:val="00FE2824"/>
    <w:rsid w:val="00FE37F6"/>
    <w:rsid w:val="00FE3B63"/>
    <w:rsid w:val="00FE3D94"/>
    <w:rsid w:val="00FE430C"/>
    <w:rsid w:val="00FE4E3C"/>
    <w:rsid w:val="00FE59C5"/>
    <w:rsid w:val="00FE5B05"/>
    <w:rsid w:val="00FE5CC5"/>
    <w:rsid w:val="00FE6D42"/>
    <w:rsid w:val="00FE6D85"/>
    <w:rsid w:val="00FE6F92"/>
    <w:rsid w:val="00FE7953"/>
    <w:rsid w:val="00FF0171"/>
    <w:rsid w:val="00FF0576"/>
    <w:rsid w:val="00FF0778"/>
    <w:rsid w:val="00FF12BE"/>
    <w:rsid w:val="00FF1B00"/>
    <w:rsid w:val="00FF1B18"/>
    <w:rsid w:val="00FF27FB"/>
    <w:rsid w:val="00FF29D2"/>
    <w:rsid w:val="00FF2F34"/>
    <w:rsid w:val="00FF3130"/>
    <w:rsid w:val="00FF3B6C"/>
    <w:rsid w:val="00FF40AB"/>
    <w:rsid w:val="00FF41EF"/>
    <w:rsid w:val="00FF593E"/>
    <w:rsid w:val="00FF5F1F"/>
    <w:rsid w:val="00FF6BE8"/>
    <w:rsid w:val="00FF6E1D"/>
    <w:rsid w:val="00FF7486"/>
    <w:rsid w:val="00FF7964"/>
    <w:rsid w:val="02B250DA"/>
    <w:rsid w:val="04415D9F"/>
    <w:rsid w:val="06944F6E"/>
    <w:rsid w:val="08585DDB"/>
    <w:rsid w:val="08FD38FE"/>
    <w:rsid w:val="09B91151"/>
    <w:rsid w:val="0CBD4DA7"/>
    <w:rsid w:val="10093E5F"/>
    <w:rsid w:val="11A93B4C"/>
    <w:rsid w:val="126E3D8E"/>
    <w:rsid w:val="128879FC"/>
    <w:rsid w:val="12942106"/>
    <w:rsid w:val="12A52565"/>
    <w:rsid w:val="18751392"/>
    <w:rsid w:val="1CFB5557"/>
    <w:rsid w:val="1E696B3C"/>
    <w:rsid w:val="1EB51737"/>
    <w:rsid w:val="1F576995"/>
    <w:rsid w:val="25273FE7"/>
    <w:rsid w:val="257E54AC"/>
    <w:rsid w:val="26CD39E1"/>
    <w:rsid w:val="273A5DCF"/>
    <w:rsid w:val="287C121A"/>
    <w:rsid w:val="298A3E0B"/>
    <w:rsid w:val="2AC80E06"/>
    <w:rsid w:val="2CF03F85"/>
    <w:rsid w:val="2D3B78F6"/>
    <w:rsid w:val="2D4342BC"/>
    <w:rsid w:val="2D6548BB"/>
    <w:rsid w:val="2DCF6B87"/>
    <w:rsid w:val="2E5910BF"/>
    <w:rsid w:val="31171910"/>
    <w:rsid w:val="32A27614"/>
    <w:rsid w:val="32DF2AD1"/>
    <w:rsid w:val="346A43A4"/>
    <w:rsid w:val="36005851"/>
    <w:rsid w:val="37662A0E"/>
    <w:rsid w:val="38FF2B4C"/>
    <w:rsid w:val="3A0C6459"/>
    <w:rsid w:val="3C9918BE"/>
    <w:rsid w:val="3D4F2C21"/>
    <w:rsid w:val="403F1053"/>
    <w:rsid w:val="43963680"/>
    <w:rsid w:val="45E5269D"/>
    <w:rsid w:val="46631554"/>
    <w:rsid w:val="472D19D2"/>
    <w:rsid w:val="49B14CA8"/>
    <w:rsid w:val="4AA820D6"/>
    <w:rsid w:val="4B3E12AF"/>
    <w:rsid w:val="4C805385"/>
    <w:rsid w:val="4E007381"/>
    <w:rsid w:val="4F1435DF"/>
    <w:rsid w:val="4F8A16FE"/>
    <w:rsid w:val="4FE74D47"/>
    <w:rsid w:val="500D20C6"/>
    <w:rsid w:val="50C11611"/>
    <w:rsid w:val="52203FA7"/>
    <w:rsid w:val="53EC109A"/>
    <w:rsid w:val="55647A4A"/>
    <w:rsid w:val="556F3D31"/>
    <w:rsid w:val="55B5663A"/>
    <w:rsid w:val="57B25041"/>
    <w:rsid w:val="59AF07CB"/>
    <w:rsid w:val="5E5C2DF2"/>
    <w:rsid w:val="5EC010C0"/>
    <w:rsid w:val="6102410D"/>
    <w:rsid w:val="61077514"/>
    <w:rsid w:val="61C066A1"/>
    <w:rsid w:val="62F81E05"/>
    <w:rsid w:val="66CD6B09"/>
    <w:rsid w:val="68792AA5"/>
    <w:rsid w:val="6A8A11AD"/>
    <w:rsid w:val="6F34175B"/>
    <w:rsid w:val="70D42A3B"/>
    <w:rsid w:val="726C367A"/>
    <w:rsid w:val="755201CC"/>
    <w:rsid w:val="770A4DBF"/>
    <w:rsid w:val="7A425C83"/>
    <w:rsid w:val="7BE14791"/>
    <w:rsid w:val="7BFD4F61"/>
    <w:rsid w:val="7D1D4A9A"/>
    <w:rsid w:val="7E1A04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qFormat="1"/>
    <w:lsdException w:name="toc 2" w:uiPriority="39" w:qFormat="1"/>
    <w:lsdException w:name="toc 3" w:uiPriority="39" w:unhideWhenUsed="1"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uiPriority="99" w:qFormat="1"/>
    <w:lsdException w:name="footer" w:uiPriority="99" w:unhideWhenUsed="1" w:qFormat="1"/>
    <w:lsdException w:name="caption" w:semiHidden="1" w:unhideWhenUsed="1" w:qFormat="1"/>
    <w:lsdException w:name="footnote reference" w:qFormat="1"/>
    <w:lsdException w:name="annotation reference" w:semiHidden="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Indent 2" w:qFormat="1"/>
    <w:lsdException w:name="Body Text Indent 3"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46CD6"/>
    <w:pPr>
      <w:widowControl w:val="0"/>
      <w:adjustRightInd w:val="0"/>
      <w:snapToGrid w:val="0"/>
      <w:spacing w:line="360" w:lineRule="auto"/>
      <w:ind w:firstLineChars="200" w:firstLine="200"/>
      <w:jc w:val="both"/>
    </w:pPr>
    <w:rPr>
      <w:rFonts w:eastAsia="仿宋_GB2312"/>
      <w:kern w:val="2"/>
      <w:sz w:val="32"/>
      <w:szCs w:val="24"/>
    </w:rPr>
  </w:style>
  <w:style w:type="paragraph" w:styleId="1">
    <w:name w:val="heading 1"/>
    <w:basedOn w:val="a0"/>
    <w:next w:val="a0"/>
    <w:link w:val="1Char"/>
    <w:qFormat/>
    <w:rsid w:val="00E46CD6"/>
    <w:pPr>
      <w:keepNext/>
      <w:keepLines/>
      <w:spacing w:before="340" w:after="330" w:line="578" w:lineRule="auto"/>
      <w:outlineLvl w:val="0"/>
    </w:pPr>
    <w:rPr>
      <w:b/>
      <w:bCs/>
      <w:kern w:val="44"/>
      <w:sz w:val="44"/>
      <w:szCs w:val="44"/>
    </w:rPr>
  </w:style>
  <w:style w:type="paragraph" w:styleId="2">
    <w:name w:val="heading 2"/>
    <w:basedOn w:val="a0"/>
    <w:next w:val="a0"/>
    <w:qFormat/>
    <w:rsid w:val="00E46CD6"/>
    <w:pPr>
      <w:keepNext/>
      <w:keepLines/>
      <w:spacing w:before="260" w:after="260" w:line="416" w:lineRule="auto"/>
      <w:outlineLvl w:val="1"/>
    </w:pPr>
    <w:rPr>
      <w:rFonts w:ascii="Arial" w:eastAsia="黑体" w:hAnsi="Arial"/>
      <w:b/>
      <w:bCs/>
      <w:szCs w:val="32"/>
    </w:rPr>
  </w:style>
  <w:style w:type="paragraph" w:styleId="3">
    <w:name w:val="heading 3"/>
    <w:basedOn w:val="a0"/>
    <w:next w:val="a0"/>
    <w:qFormat/>
    <w:rsid w:val="00E46CD6"/>
    <w:pPr>
      <w:keepNext/>
      <w:keepLines/>
      <w:spacing w:before="260" w:after="260" w:line="416" w:lineRule="auto"/>
      <w:outlineLvl w:val="2"/>
    </w:pPr>
    <w:rPr>
      <w:b/>
      <w:bCs/>
      <w:szCs w:val="32"/>
    </w:rPr>
  </w:style>
  <w:style w:type="paragraph" w:styleId="4">
    <w:name w:val="heading 4"/>
    <w:basedOn w:val="a0"/>
    <w:next w:val="a0"/>
    <w:qFormat/>
    <w:rsid w:val="00E46CD6"/>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rsid w:val="00E46CD6"/>
    <w:pPr>
      <w:keepNext/>
      <w:keepLines/>
      <w:spacing w:before="280" w:after="290" w:line="376" w:lineRule="auto"/>
      <w:outlineLvl w:val="4"/>
    </w:pPr>
    <w:rPr>
      <w:rFonts w:eastAsia="宋体"/>
      <w:b/>
      <w:bCs/>
      <w:sz w:val="28"/>
      <w:szCs w:val="28"/>
    </w:rPr>
  </w:style>
  <w:style w:type="paragraph" w:styleId="6">
    <w:name w:val="heading 6"/>
    <w:basedOn w:val="a0"/>
    <w:next w:val="a0"/>
    <w:qFormat/>
    <w:rsid w:val="00E46CD6"/>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E46CD6"/>
    <w:pPr>
      <w:keepNext/>
      <w:keepLines/>
      <w:spacing w:before="240" w:after="64" w:line="320" w:lineRule="auto"/>
      <w:outlineLvl w:val="6"/>
    </w:pPr>
    <w:rPr>
      <w:rFonts w:eastAsia="宋体"/>
      <w:b/>
      <w:bCs/>
      <w:sz w:val="24"/>
    </w:rPr>
  </w:style>
  <w:style w:type="paragraph" w:styleId="8">
    <w:name w:val="heading 8"/>
    <w:basedOn w:val="a0"/>
    <w:next w:val="a0"/>
    <w:qFormat/>
    <w:rsid w:val="00E46CD6"/>
    <w:pPr>
      <w:keepNext/>
      <w:keepLines/>
      <w:spacing w:before="240" w:after="64" w:line="320" w:lineRule="auto"/>
      <w:outlineLvl w:val="7"/>
    </w:pPr>
    <w:rPr>
      <w:rFonts w:ascii="Arial" w:eastAsia="黑体" w:hAnsi="Arial"/>
      <w:sz w:val="24"/>
    </w:rPr>
  </w:style>
  <w:style w:type="paragraph" w:styleId="9">
    <w:name w:val="heading 9"/>
    <w:basedOn w:val="a0"/>
    <w:next w:val="a0"/>
    <w:qFormat/>
    <w:rsid w:val="00E46CD6"/>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0">
    <w:name w:val="toc 7"/>
    <w:basedOn w:val="a0"/>
    <w:next w:val="a0"/>
    <w:qFormat/>
    <w:rsid w:val="00E46CD6"/>
    <w:pPr>
      <w:ind w:left="1800"/>
      <w:jc w:val="left"/>
    </w:pPr>
    <w:rPr>
      <w:rFonts w:ascii="Calibri" w:hAnsi="Calibri" w:cs="Calibri"/>
      <w:sz w:val="18"/>
      <w:szCs w:val="18"/>
    </w:rPr>
  </w:style>
  <w:style w:type="paragraph" w:styleId="a4">
    <w:name w:val="Document Map"/>
    <w:basedOn w:val="a0"/>
    <w:semiHidden/>
    <w:qFormat/>
    <w:rsid w:val="00E46CD6"/>
    <w:pPr>
      <w:shd w:val="clear" w:color="auto" w:fill="000080"/>
    </w:pPr>
  </w:style>
  <w:style w:type="paragraph" w:styleId="a5">
    <w:name w:val="annotation text"/>
    <w:basedOn w:val="a0"/>
    <w:link w:val="Char1"/>
    <w:qFormat/>
    <w:rsid w:val="00E46CD6"/>
    <w:pPr>
      <w:jc w:val="left"/>
    </w:pPr>
  </w:style>
  <w:style w:type="paragraph" w:styleId="a">
    <w:name w:val="Body Text"/>
    <w:basedOn w:val="a0"/>
    <w:qFormat/>
    <w:rsid w:val="00E46CD6"/>
    <w:pPr>
      <w:numPr>
        <w:numId w:val="1"/>
      </w:numPr>
      <w:spacing w:after="120"/>
    </w:pPr>
    <w:rPr>
      <w:rFonts w:ascii="Calibri" w:eastAsia="宋体" w:hAnsi="Calibri"/>
      <w:sz w:val="21"/>
      <w:szCs w:val="22"/>
    </w:rPr>
  </w:style>
  <w:style w:type="paragraph" w:styleId="a6">
    <w:name w:val="Body Text Indent"/>
    <w:basedOn w:val="a0"/>
    <w:qFormat/>
    <w:rsid w:val="00E46CD6"/>
    <w:pPr>
      <w:spacing w:after="120"/>
      <w:ind w:leftChars="200" w:left="420"/>
    </w:pPr>
  </w:style>
  <w:style w:type="paragraph" w:styleId="50">
    <w:name w:val="toc 5"/>
    <w:basedOn w:val="a0"/>
    <w:next w:val="a0"/>
    <w:qFormat/>
    <w:rsid w:val="00E46CD6"/>
    <w:pPr>
      <w:ind w:left="1200"/>
      <w:jc w:val="left"/>
    </w:pPr>
    <w:rPr>
      <w:rFonts w:ascii="Calibri" w:hAnsi="Calibri" w:cs="Calibri"/>
      <w:sz w:val="18"/>
      <w:szCs w:val="18"/>
    </w:rPr>
  </w:style>
  <w:style w:type="paragraph" w:styleId="30">
    <w:name w:val="toc 3"/>
    <w:basedOn w:val="a0"/>
    <w:next w:val="a0"/>
    <w:uiPriority w:val="39"/>
    <w:unhideWhenUsed/>
    <w:qFormat/>
    <w:rsid w:val="00E46CD6"/>
    <w:pPr>
      <w:ind w:left="600"/>
      <w:jc w:val="left"/>
    </w:pPr>
    <w:rPr>
      <w:rFonts w:ascii="Calibri" w:hAnsi="Calibri" w:cs="Calibri"/>
      <w:i/>
      <w:iCs/>
      <w:sz w:val="20"/>
      <w:szCs w:val="20"/>
    </w:rPr>
  </w:style>
  <w:style w:type="paragraph" w:styleId="80">
    <w:name w:val="toc 8"/>
    <w:basedOn w:val="a0"/>
    <w:next w:val="a0"/>
    <w:qFormat/>
    <w:rsid w:val="00E46CD6"/>
    <w:pPr>
      <w:ind w:left="2100"/>
      <w:jc w:val="left"/>
    </w:pPr>
    <w:rPr>
      <w:rFonts w:ascii="Calibri" w:hAnsi="Calibri" w:cs="Calibri"/>
      <w:sz w:val="18"/>
      <w:szCs w:val="18"/>
    </w:rPr>
  </w:style>
  <w:style w:type="paragraph" w:styleId="20">
    <w:name w:val="Body Text Indent 2"/>
    <w:basedOn w:val="a0"/>
    <w:link w:val="2Char1"/>
    <w:qFormat/>
    <w:rsid w:val="00E46CD6"/>
    <w:pPr>
      <w:spacing w:after="120" w:line="480" w:lineRule="auto"/>
      <w:ind w:leftChars="200" w:left="420"/>
    </w:pPr>
    <w:rPr>
      <w:rFonts w:eastAsia="宋体"/>
      <w:sz w:val="21"/>
    </w:rPr>
  </w:style>
  <w:style w:type="paragraph" w:styleId="a7">
    <w:name w:val="Balloon Text"/>
    <w:basedOn w:val="a0"/>
    <w:semiHidden/>
    <w:qFormat/>
    <w:rsid w:val="00E46CD6"/>
    <w:rPr>
      <w:sz w:val="18"/>
      <w:szCs w:val="18"/>
    </w:rPr>
  </w:style>
  <w:style w:type="paragraph" w:styleId="a8">
    <w:name w:val="footer"/>
    <w:basedOn w:val="a0"/>
    <w:link w:val="Char10"/>
    <w:uiPriority w:val="99"/>
    <w:unhideWhenUsed/>
    <w:qFormat/>
    <w:rsid w:val="00E46CD6"/>
    <w:pPr>
      <w:tabs>
        <w:tab w:val="center" w:pos="4153"/>
        <w:tab w:val="right" w:pos="8306"/>
      </w:tabs>
      <w:jc w:val="left"/>
    </w:pPr>
    <w:rPr>
      <w:rFonts w:eastAsia="宋体"/>
      <w:kern w:val="0"/>
      <w:sz w:val="18"/>
      <w:szCs w:val="18"/>
    </w:rPr>
  </w:style>
  <w:style w:type="paragraph" w:styleId="a9">
    <w:name w:val="header"/>
    <w:basedOn w:val="a0"/>
    <w:link w:val="Char11"/>
    <w:uiPriority w:val="99"/>
    <w:qFormat/>
    <w:rsid w:val="00E46CD6"/>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unhideWhenUsed/>
    <w:qFormat/>
    <w:rsid w:val="00E46CD6"/>
    <w:pPr>
      <w:spacing w:before="120" w:after="120"/>
      <w:jc w:val="left"/>
    </w:pPr>
    <w:rPr>
      <w:rFonts w:ascii="Calibri" w:hAnsi="Calibri" w:cs="Calibri"/>
      <w:b/>
      <w:bCs/>
      <w:caps/>
      <w:sz w:val="20"/>
      <w:szCs w:val="20"/>
    </w:rPr>
  </w:style>
  <w:style w:type="paragraph" w:styleId="40">
    <w:name w:val="toc 4"/>
    <w:basedOn w:val="a0"/>
    <w:next w:val="a0"/>
    <w:qFormat/>
    <w:rsid w:val="00E46CD6"/>
    <w:pPr>
      <w:ind w:left="900"/>
      <w:jc w:val="left"/>
    </w:pPr>
    <w:rPr>
      <w:rFonts w:ascii="Calibri" w:hAnsi="Calibri" w:cs="Calibri"/>
      <w:sz w:val="18"/>
      <w:szCs w:val="18"/>
    </w:rPr>
  </w:style>
  <w:style w:type="paragraph" w:styleId="aa">
    <w:name w:val="footnote text"/>
    <w:basedOn w:val="a0"/>
    <w:link w:val="Char"/>
    <w:qFormat/>
    <w:rsid w:val="00E46CD6"/>
    <w:pPr>
      <w:jc w:val="left"/>
    </w:pPr>
    <w:rPr>
      <w:rFonts w:ascii="Calibri" w:eastAsia="宋体" w:hAnsi="Calibri"/>
      <w:kern w:val="0"/>
      <w:sz w:val="18"/>
      <w:szCs w:val="20"/>
    </w:rPr>
  </w:style>
  <w:style w:type="paragraph" w:styleId="60">
    <w:name w:val="toc 6"/>
    <w:basedOn w:val="a0"/>
    <w:next w:val="a0"/>
    <w:qFormat/>
    <w:rsid w:val="00E46CD6"/>
    <w:pPr>
      <w:ind w:left="1500"/>
      <w:jc w:val="left"/>
    </w:pPr>
    <w:rPr>
      <w:rFonts w:ascii="Calibri" w:hAnsi="Calibri" w:cs="Calibri"/>
      <w:sz w:val="18"/>
      <w:szCs w:val="18"/>
    </w:rPr>
  </w:style>
  <w:style w:type="paragraph" w:styleId="31">
    <w:name w:val="Body Text Indent 3"/>
    <w:basedOn w:val="a0"/>
    <w:qFormat/>
    <w:rsid w:val="00E46CD6"/>
    <w:pPr>
      <w:spacing w:after="120"/>
      <w:ind w:leftChars="200" w:left="420"/>
    </w:pPr>
    <w:rPr>
      <w:sz w:val="16"/>
      <w:szCs w:val="16"/>
    </w:rPr>
  </w:style>
  <w:style w:type="paragraph" w:styleId="21">
    <w:name w:val="toc 2"/>
    <w:basedOn w:val="a0"/>
    <w:next w:val="a0"/>
    <w:uiPriority w:val="39"/>
    <w:qFormat/>
    <w:rsid w:val="00E46CD6"/>
    <w:pPr>
      <w:ind w:left="300"/>
      <w:jc w:val="left"/>
    </w:pPr>
    <w:rPr>
      <w:rFonts w:ascii="Calibri" w:hAnsi="Calibri" w:cs="Calibri"/>
      <w:smallCaps/>
      <w:sz w:val="20"/>
      <w:szCs w:val="20"/>
    </w:rPr>
  </w:style>
  <w:style w:type="paragraph" w:styleId="90">
    <w:name w:val="toc 9"/>
    <w:basedOn w:val="a0"/>
    <w:next w:val="a0"/>
    <w:qFormat/>
    <w:rsid w:val="00E46CD6"/>
    <w:pPr>
      <w:ind w:left="2400"/>
      <w:jc w:val="left"/>
    </w:pPr>
    <w:rPr>
      <w:rFonts w:ascii="Calibri" w:hAnsi="Calibri" w:cs="Calibri"/>
      <w:sz w:val="18"/>
      <w:szCs w:val="18"/>
    </w:rPr>
  </w:style>
  <w:style w:type="paragraph" w:styleId="ab">
    <w:name w:val="Normal (Web)"/>
    <w:basedOn w:val="a0"/>
    <w:qFormat/>
    <w:rsid w:val="00E46CD6"/>
    <w:pPr>
      <w:ind w:firstLine="640"/>
    </w:pPr>
    <w:rPr>
      <w:rFonts w:ascii="仿宋_GB2312"/>
      <w:szCs w:val="32"/>
    </w:rPr>
  </w:style>
  <w:style w:type="paragraph" w:styleId="ac">
    <w:name w:val="annotation subject"/>
    <w:basedOn w:val="a5"/>
    <w:next w:val="a5"/>
    <w:semiHidden/>
    <w:qFormat/>
    <w:rsid w:val="00E46CD6"/>
    <w:rPr>
      <w:b/>
      <w:bCs/>
    </w:rPr>
  </w:style>
  <w:style w:type="table" w:styleId="ad">
    <w:name w:val="Table Grid"/>
    <w:basedOn w:val="a2"/>
    <w:uiPriority w:val="59"/>
    <w:qFormat/>
    <w:rsid w:val="00E46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Theme"/>
    <w:basedOn w:val="a2"/>
    <w:qFormat/>
    <w:rsid w:val="00E46CD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qFormat/>
    <w:rsid w:val="00E46CD6"/>
    <w:rPr>
      <w:color w:val="0000FF"/>
      <w:u w:val="single"/>
    </w:rPr>
  </w:style>
  <w:style w:type="character" w:styleId="af0">
    <w:name w:val="annotation reference"/>
    <w:semiHidden/>
    <w:qFormat/>
    <w:rsid w:val="00E46CD6"/>
    <w:rPr>
      <w:sz w:val="21"/>
      <w:szCs w:val="21"/>
    </w:rPr>
  </w:style>
  <w:style w:type="character" w:styleId="af1">
    <w:name w:val="footnote reference"/>
    <w:qFormat/>
    <w:rsid w:val="00E46CD6"/>
    <w:rPr>
      <w:rFonts w:cs="Times New Roman"/>
      <w:vertAlign w:val="superscript"/>
    </w:rPr>
  </w:style>
  <w:style w:type="character" w:customStyle="1" w:styleId="1Char">
    <w:name w:val="标题 1 Char"/>
    <w:link w:val="1"/>
    <w:qFormat/>
    <w:rsid w:val="00E46CD6"/>
    <w:rPr>
      <w:rFonts w:eastAsia="仿宋_GB2312"/>
      <w:b/>
      <w:bCs/>
      <w:kern w:val="44"/>
      <w:sz w:val="44"/>
      <w:szCs w:val="44"/>
    </w:rPr>
  </w:style>
  <w:style w:type="character" w:customStyle="1" w:styleId="Char1">
    <w:name w:val="批注文字 Char1"/>
    <w:link w:val="a5"/>
    <w:qFormat/>
    <w:rsid w:val="00E46CD6"/>
    <w:rPr>
      <w:rFonts w:eastAsia="仿宋_GB2312"/>
      <w:kern w:val="2"/>
      <w:sz w:val="30"/>
      <w:szCs w:val="24"/>
    </w:rPr>
  </w:style>
  <w:style w:type="character" w:customStyle="1" w:styleId="2Char1">
    <w:name w:val="正文文本缩进 2 Char1"/>
    <w:link w:val="20"/>
    <w:qFormat/>
    <w:rsid w:val="00E46CD6"/>
    <w:rPr>
      <w:rFonts w:eastAsia="宋体"/>
      <w:kern w:val="2"/>
      <w:sz w:val="21"/>
      <w:szCs w:val="24"/>
      <w:lang w:val="en-US" w:eastAsia="zh-CN" w:bidi="ar-SA"/>
    </w:rPr>
  </w:style>
  <w:style w:type="character" w:customStyle="1" w:styleId="Char10">
    <w:name w:val="页脚 Char1"/>
    <w:link w:val="a8"/>
    <w:uiPriority w:val="99"/>
    <w:qFormat/>
    <w:rsid w:val="00E46CD6"/>
    <w:rPr>
      <w:rFonts w:eastAsia="宋体"/>
      <w:sz w:val="18"/>
      <w:szCs w:val="18"/>
      <w:lang w:bidi="ar-SA"/>
    </w:rPr>
  </w:style>
  <w:style w:type="character" w:customStyle="1" w:styleId="Char11">
    <w:name w:val="页眉 Char1"/>
    <w:link w:val="a9"/>
    <w:uiPriority w:val="99"/>
    <w:qFormat/>
    <w:rsid w:val="00E46CD6"/>
    <w:rPr>
      <w:rFonts w:eastAsia="仿宋_GB2312"/>
      <w:kern w:val="2"/>
      <w:sz w:val="18"/>
      <w:szCs w:val="18"/>
    </w:rPr>
  </w:style>
  <w:style w:type="character" w:customStyle="1" w:styleId="Char">
    <w:name w:val="脚注文本 Char"/>
    <w:link w:val="aa"/>
    <w:qFormat/>
    <w:rsid w:val="00E46CD6"/>
    <w:rPr>
      <w:rFonts w:ascii="Calibri" w:hAnsi="Calibri"/>
      <w:sz w:val="18"/>
    </w:rPr>
  </w:style>
  <w:style w:type="paragraph" w:customStyle="1" w:styleId="Char2">
    <w:name w:val="Char2"/>
    <w:basedOn w:val="a0"/>
    <w:qFormat/>
    <w:rsid w:val="00E46CD6"/>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qFormat/>
    <w:rsid w:val="00E46CD6"/>
    <w:pPr>
      <w:widowControl/>
      <w:spacing w:after="160" w:line="240" w:lineRule="exact"/>
      <w:jc w:val="left"/>
    </w:pPr>
    <w:rPr>
      <w:rFonts w:ascii="Verdana" w:hAnsi="Verdana"/>
      <w:kern w:val="0"/>
      <w:szCs w:val="30"/>
      <w:lang w:eastAsia="en-US"/>
    </w:rPr>
  </w:style>
  <w:style w:type="paragraph" w:customStyle="1" w:styleId="CharCharCharChar">
    <w:name w:val="Char Char Char Char"/>
    <w:basedOn w:val="a0"/>
    <w:qFormat/>
    <w:rsid w:val="00E46CD6"/>
    <w:pPr>
      <w:numPr>
        <w:numId w:val="2"/>
      </w:numPr>
    </w:pPr>
    <w:rPr>
      <w:rFonts w:eastAsia="宋体"/>
      <w:sz w:val="24"/>
    </w:rPr>
  </w:style>
  <w:style w:type="paragraph" w:customStyle="1" w:styleId="Char12">
    <w:name w:val="Char1"/>
    <w:basedOn w:val="a0"/>
    <w:qFormat/>
    <w:rsid w:val="00E46CD6"/>
    <w:rPr>
      <w:rFonts w:ascii="宋体" w:eastAsia="宋体" w:hAnsi="宋体" w:cs="Courier New"/>
      <w:szCs w:val="32"/>
    </w:rPr>
  </w:style>
  <w:style w:type="paragraph" w:customStyle="1" w:styleId="CharCharCharCharCharCharCharCharCharCharCharChar">
    <w:name w:val="Char Char Char Char Char Char Char Char Char Char Char Char"/>
    <w:basedOn w:val="a0"/>
    <w:qFormat/>
    <w:rsid w:val="00E46CD6"/>
    <w:rPr>
      <w:rFonts w:ascii="宋体" w:eastAsia="宋体" w:hAnsi="宋体" w:cs="Courier New"/>
      <w:szCs w:val="32"/>
    </w:rPr>
  </w:style>
  <w:style w:type="paragraph" w:customStyle="1" w:styleId="CharCharChar1CharCharCharChar">
    <w:name w:val="Char Char Char1 Char Char Char Char"/>
    <w:basedOn w:val="a0"/>
    <w:qFormat/>
    <w:rsid w:val="00E46CD6"/>
    <w:rPr>
      <w:rFonts w:ascii="Tahoma" w:eastAsia="宋体" w:hAnsi="Tahoma"/>
      <w:sz w:val="24"/>
      <w:szCs w:val="20"/>
    </w:rPr>
  </w:style>
  <w:style w:type="paragraph" w:customStyle="1" w:styleId="Char1CharChar">
    <w:name w:val="Char1 Char Char"/>
    <w:basedOn w:val="a0"/>
    <w:qFormat/>
    <w:rsid w:val="00E46CD6"/>
    <w:pPr>
      <w:widowControl/>
      <w:spacing w:after="160" w:line="240" w:lineRule="exact"/>
      <w:jc w:val="left"/>
    </w:pPr>
    <w:rPr>
      <w:rFonts w:ascii="Verdana" w:hAnsi="Verdana"/>
      <w:kern w:val="0"/>
      <w:sz w:val="24"/>
      <w:szCs w:val="20"/>
      <w:lang w:eastAsia="en-US"/>
    </w:rPr>
  </w:style>
  <w:style w:type="paragraph" w:styleId="af2">
    <w:name w:val="List Paragraph"/>
    <w:basedOn w:val="a0"/>
    <w:uiPriority w:val="34"/>
    <w:qFormat/>
    <w:rsid w:val="00E46CD6"/>
    <w:pPr>
      <w:ind w:firstLine="420"/>
    </w:pPr>
  </w:style>
  <w:style w:type="paragraph" w:customStyle="1" w:styleId="11">
    <w:name w:val="修订1"/>
    <w:uiPriority w:val="99"/>
    <w:semiHidden/>
    <w:qFormat/>
    <w:rsid w:val="00E46CD6"/>
    <w:rPr>
      <w:rFonts w:eastAsia="仿宋_GB2312"/>
      <w:kern w:val="2"/>
      <w:sz w:val="30"/>
      <w:szCs w:val="24"/>
    </w:rPr>
  </w:style>
  <w:style w:type="character" w:customStyle="1" w:styleId="1Char0">
    <w:name w:val="正文1 Char"/>
    <w:link w:val="12"/>
    <w:qFormat/>
    <w:locked/>
    <w:rsid w:val="00E46CD6"/>
    <w:rPr>
      <w:rFonts w:ascii="宋体" w:eastAsia="仿宋_GB2312" w:hAnsi="宋体"/>
      <w:spacing w:val="6"/>
      <w:sz w:val="24"/>
    </w:rPr>
  </w:style>
  <w:style w:type="paragraph" w:customStyle="1" w:styleId="12">
    <w:name w:val="正文1"/>
    <w:basedOn w:val="a0"/>
    <w:link w:val="1Char0"/>
    <w:qFormat/>
    <w:rsid w:val="00E46CD6"/>
    <w:pPr>
      <w:autoSpaceDE w:val="0"/>
      <w:autoSpaceDN w:val="0"/>
      <w:spacing w:line="600" w:lineRule="exact"/>
      <w:ind w:firstLine="624"/>
    </w:pPr>
    <w:rPr>
      <w:rFonts w:ascii="宋体" w:hAnsi="宋体"/>
      <w:spacing w:val="6"/>
      <w:kern w:val="0"/>
      <w:sz w:val="24"/>
      <w:szCs w:val="20"/>
    </w:rPr>
  </w:style>
  <w:style w:type="paragraph" w:customStyle="1" w:styleId="TOC1">
    <w:name w:val="TOC 标题1"/>
    <w:basedOn w:val="1"/>
    <w:next w:val="a0"/>
    <w:uiPriority w:val="39"/>
    <w:qFormat/>
    <w:rsid w:val="00E46CD6"/>
    <w:pPr>
      <w:widowControl/>
      <w:spacing w:before="480" w:after="0" w:line="276" w:lineRule="auto"/>
      <w:jc w:val="left"/>
      <w:outlineLvl w:val="9"/>
    </w:pPr>
    <w:rPr>
      <w:rFonts w:ascii="Cambria" w:eastAsia="宋体" w:hAnsi="Cambria"/>
      <w:color w:val="365F91"/>
      <w:kern w:val="0"/>
      <w:sz w:val="28"/>
      <w:szCs w:val="28"/>
    </w:rPr>
  </w:style>
  <w:style w:type="character" w:customStyle="1" w:styleId="2Char">
    <w:name w:val="正文文本缩进 2 Char"/>
    <w:qFormat/>
    <w:rsid w:val="00E46CD6"/>
    <w:rPr>
      <w:rFonts w:eastAsia="宋体"/>
      <w:kern w:val="2"/>
      <w:sz w:val="21"/>
      <w:szCs w:val="24"/>
      <w:lang w:val="en-US" w:eastAsia="zh-CN" w:bidi="ar-SA"/>
    </w:rPr>
  </w:style>
  <w:style w:type="character" w:customStyle="1" w:styleId="Char0">
    <w:name w:val="页脚 Char"/>
    <w:uiPriority w:val="99"/>
    <w:qFormat/>
    <w:rsid w:val="00E46CD6"/>
    <w:rPr>
      <w:rFonts w:eastAsia="宋体"/>
      <w:sz w:val="18"/>
      <w:szCs w:val="18"/>
      <w:lang w:val="zh-CN" w:eastAsia="zh-CN" w:bidi="ar-SA"/>
    </w:rPr>
  </w:style>
  <w:style w:type="character" w:customStyle="1" w:styleId="Char3">
    <w:name w:val="页眉 Char"/>
    <w:uiPriority w:val="99"/>
    <w:qFormat/>
    <w:rsid w:val="00E46CD6"/>
    <w:rPr>
      <w:rFonts w:eastAsia="仿宋_GB2312"/>
      <w:kern w:val="2"/>
      <w:sz w:val="18"/>
      <w:szCs w:val="18"/>
    </w:rPr>
  </w:style>
  <w:style w:type="character" w:customStyle="1" w:styleId="Char4">
    <w:name w:val="批注文字 Char"/>
    <w:qFormat/>
    <w:rsid w:val="00E46CD6"/>
    <w:rPr>
      <w:rFonts w:eastAsia="仿宋_GB2312"/>
      <w:kern w:val="2"/>
      <w:sz w:val="30"/>
      <w:szCs w:val="24"/>
      <w:lang w:val="zh-CN"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C1311-93D5-4038-B1B3-59DA5E1C1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2237</Words>
  <Characters>12756</Characters>
  <Application>Microsoft Office Word</Application>
  <DocSecurity>0</DocSecurity>
  <Lines>106</Lines>
  <Paragraphs>29</Paragraphs>
  <ScaleCrop>false</ScaleCrop>
  <Company>Microsoft</Company>
  <LinksUpToDate>false</LinksUpToDate>
  <CharactersWithSpaces>14964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admin</cp:lastModifiedBy>
  <cp:revision>10</cp:revision>
  <cp:lastPrinted>2023-05-29T23:23:00Z</cp:lastPrinted>
  <dcterms:created xsi:type="dcterms:W3CDTF">2023-05-29T23:23:00Z</dcterms:created>
  <dcterms:modified xsi:type="dcterms:W3CDTF">2024-06-12T02:09:00Z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3FE1A083410748449D150B752531FA65</vt:lpwstr>
  </property>
</Properties>
</file>