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F67AC">
      <w:pPr>
        <w:spacing w:line="360" w:lineRule="auto"/>
        <w:jc w:val="center"/>
        <w:rPr>
          <w:rFonts w:ascii="华文中宋" w:hAnsi="华文中宋" w:eastAsia="华文中宋"/>
          <w:color w:val="000000" w:themeColor="text1"/>
          <w:sz w:val="36"/>
          <w:szCs w:val="36"/>
        </w:rPr>
      </w:pPr>
      <w:r>
        <w:rPr>
          <w:rFonts w:hint="eastAsia" w:ascii="华文中宋" w:hAnsi="华文中宋" w:eastAsia="华文中宋"/>
          <w:color w:val="000000" w:themeColor="text1"/>
          <w:sz w:val="36"/>
          <w:szCs w:val="36"/>
        </w:rPr>
        <w:t>北京市机关事务管理中心</w:t>
      </w:r>
    </w:p>
    <w:p w14:paraId="4875F87B">
      <w:pPr>
        <w:spacing w:line="360" w:lineRule="auto"/>
        <w:jc w:val="center"/>
        <w:rPr>
          <w:rFonts w:ascii="华文中宋" w:hAnsi="华文中宋" w:eastAsia="华文中宋"/>
          <w:color w:val="000000" w:themeColor="text1"/>
          <w:sz w:val="36"/>
          <w:szCs w:val="36"/>
        </w:rPr>
      </w:pPr>
      <w:r>
        <w:rPr>
          <w:rFonts w:ascii="华文中宋" w:hAnsi="华文中宋" w:eastAsia="华文中宋"/>
          <w:color w:val="000000" w:themeColor="text1"/>
          <w:sz w:val="36"/>
          <w:szCs w:val="36"/>
        </w:rPr>
        <w:t>202</w:t>
      </w:r>
      <w:r>
        <w:rPr>
          <w:rFonts w:hint="eastAsia" w:ascii="华文中宋" w:hAnsi="华文中宋" w:eastAsia="华文中宋"/>
          <w:color w:val="000000" w:themeColor="text1"/>
          <w:sz w:val="36"/>
          <w:szCs w:val="36"/>
        </w:rPr>
        <w:t>4年度部门整体绩效评价报告</w:t>
      </w:r>
    </w:p>
    <w:p w14:paraId="41BBAEC3">
      <w:pPr>
        <w:jc w:val="center"/>
        <w:rPr>
          <w:rFonts w:ascii="仿宋_GB2312"/>
          <w:color w:val="000000" w:themeColor="text1"/>
          <w:szCs w:val="30"/>
        </w:rPr>
      </w:pPr>
    </w:p>
    <w:p w14:paraId="2A5A28B0">
      <w:pPr>
        <w:adjustRightInd w:val="0"/>
        <w:snapToGrid w:val="0"/>
        <w:spacing w:line="360" w:lineRule="auto"/>
        <w:ind w:firstLine="640" w:firstLineChars="200"/>
        <w:outlineLvl w:val="0"/>
        <w:rPr>
          <w:rFonts w:ascii="黑体" w:hAnsi="黑体" w:eastAsia="黑体" w:cs="宋体"/>
          <w:color w:val="000000" w:themeColor="text1"/>
          <w:kern w:val="0"/>
          <w:sz w:val="32"/>
          <w:szCs w:val="32"/>
        </w:rPr>
      </w:pPr>
      <w:bookmarkStart w:id="0" w:name="_Toc20626"/>
      <w:r>
        <w:rPr>
          <w:rFonts w:hint="eastAsia" w:ascii="黑体" w:hAnsi="黑体" w:eastAsia="黑体" w:cs="宋体"/>
          <w:color w:val="000000" w:themeColor="text1"/>
          <w:kern w:val="0"/>
          <w:sz w:val="32"/>
          <w:szCs w:val="32"/>
        </w:rPr>
        <w:t>一、部门概况</w:t>
      </w:r>
      <w:bookmarkEnd w:id="0"/>
    </w:p>
    <w:p w14:paraId="3205170F">
      <w:pPr>
        <w:adjustRightInd w:val="0"/>
        <w:snapToGrid w:val="0"/>
        <w:spacing w:line="360" w:lineRule="auto"/>
        <w:ind w:firstLine="640" w:firstLineChars="200"/>
        <w:outlineLvl w:val="1"/>
        <w:rPr>
          <w:rFonts w:ascii="楷体_GB2312" w:eastAsia="楷体_GB2312"/>
          <w:color w:val="000000" w:themeColor="text1"/>
          <w:sz w:val="32"/>
          <w:szCs w:val="32"/>
        </w:rPr>
      </w:pPr>
      <w:bookmarkStart w:id="1" w:name="_Toc14467"/>
      <w:r>
        <w:rPr>
          <w:rFonts w:hint="eastAsia" w:ascii="楷体_GB2312" w:eastAsia="楷体_GB2312"/>
          <w:color w:val="000000" w:themeColor="text1"/>
          <w:sz w:val="32"/>
          <w:szCs w:val="32"/>
        </w:rPr>
        <w:t>（一）机构设置及职责工作任务情况</w:t>
      </w:r>
      <w:bookmarkEnd w:id="1"/>
    </w:p>
    <w:p w14:paraId="42D58193">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w:t>
      </w:r>
      <w:r>
        <w:rPr>
          <w:rFonts w:ascii="仿宋_GB2312" w:hAnsi="宋体" w:eastAsia="仿宋_GB2312" w:cs="宋体"/>
          <w:color w:val="000000" w:themeColor="text1"/>
          <w:kern w:val="0"/>
          <w:sz w:val="32"/>
          <w:szCs w:val="32"/>
        </w:rPr>
        <w:t>.</w:t>
      </w:r>
      <w:r>
        <w:rPr>
          <w:rFonts w:hint="eastAsia" w:ascii="仿宋_GB2312" w:eastAsia="仿宋_GB2312"/>
          <w:bCs/>
          <w:color w:val="000000" w:themeColor="text1"/>
          <w:sz w:val="32"/>
          <w:szCs w:val="32"/>
        </w:rPr>
        <w:t>部门组织架构与职能职责</w:t>
      </w:r>
    </w:p>
    <w:p w14:paraId="50DCAC71">
      <w:pPr>
        <w:widowControl/>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021</w:t>
      </w:r>
      <w:r>
        <w:rPr>
          <w:rFonts w:hint="eastAsia" w:ascii="仿宋_GB2312" w:hAnsi="宋体" w:eastAsia="仿宋_GB2312" w:cs="宋体"/>
          <w:color w:val="000000" w:themeColor="text1"/>
          <w:kern w:val="0"/>
          <w:sz w:val="32"/>
          <w:szCs w:val="32"/>
        </w:rPr>
        <w:t>年9月，原</w:t>
      </w:r>
      <w:r>
        <w:rPr>
          <w:rFonts w:hint="eastAsia" w:ascii="仿宋_GB2312" w:eastAsia="仿宋_GB2312" w:cs="仿宋_GB2312"/>
          <w:color w:val="000000" w:themeColor="text1"/>
          <w:sz w:val="32"/>
          <w:szCs w:val="32"/>
        </w:rPr>
        <w:t>北京</w:t>
      </w:r>
      <w:r>
        <w:rPr>
          <w:rFonts w:hint="eastAsia" w:ascii="仿宋_GB2312" w:hAnsi="宋体" w:eastAsia="仿宋_GB2312" w:cs="宋体"/>
          <w:color w:val="000000" w:themeColor="text1"/>
          <w:kern w:val="0"/>
          <w:sz w:val="32"/>
          <w:szCs w:val="32"/>
        </w:rPr>
        <w:t>市人民政府机关事务管理办公室根据中共北京市委机构编制委员会《关于印发北京市机关事务管理中心机构职能编制规定的通知》（京编委发〔2021〕14号）、中共北京市委机构编制委员会《关于市机关事务局所属事业单位改革有关事项的批复》（京编委〔2021〕139号）文件要求，改编为北京市机关事务管理中心（以下简称“市机关事务管理中心”），隶属于北京市机关事务管理局,主要负责槐柏树街办公区、中环办公区、</w:t>
      </w:r>
      <w:bookmarkStart w:id="25" w:name="_GoBack"/>
      <w:r>
        <w:rPr>
          <w:rFonts w:hint="eastAsia" w:ascii="仿宋_GB2312" w:hAnsi="宋体" w:eastAsia="仿宋_GB2312" w:cs="宋体"/>
          <w:color w:val="000000" w:themeColor="text1"/>
          <w:kern w:val="0"/>
          <w:sz w:val="32"/>
          <w:szCs w:val="32"/>
        </w:rPr>
        <w:t>六里桥</w:t>
      </w:r>
      <w:bookmarkEnd w:id="25"/>
      <w:r>
        <w:rPr>
          <w:rFonts w:hint="eastAsia" w:ascii="仿宋_GB2312" w:hAnsi="宋体" w:eastAsia="仿宋_GB2312" w:cs="宋体"/>
          <w:color w:val="000000" w:themeColor="text1"/>
          <w:kern w:val="0"/>
          <w:sz w:val="32"/>
          <w:szCs w:val="32"/>
        </w:rPr>
        <w:t>办公区及南礼士路办公区等办公地点的机关行政事务管理和后勤保障服务工作。市机关事务管理中心</w:t>
      </w:r>
      <w:r>
        <w:rPr>
          <w:rFonts w:hint="eastAsia" w:ascii="仿宋_GB2312" w:eastAsia="仿宋_GB2312"/>
          <w:color w:val="000000" w:themeColor="text1"/>
          <w:sz w:val="32"/>
          <w:szCs w:val="32"/>
        </w:rPr>
        <w:t>设北京市机关事务管理中心（本级）</w:t>
      </w:r>
      <w:r>
        <w:rPr>
          <w:rFonts w:hint="eastAsia" w:ascii="仿宋_GB2312" w:eastAsia="仿宋_GB2312" w:cs="仿宋_GB2312"/>
          <w:color w:val="000000" w:themeColor="text1"/>
          <w:sz w:val="32"/>
          <w:szCs w:val="32"/>
        </w:rPr>
        <w:t>、</w:t>
      </w:r>
      <w:r>
        <w:rPr>
          <w:rFonts w:hint="eastAsia" w:ascii="仿宋_GB2312" w:hAnsi="宋体" w:eastAsia="仿宋_GB2312" w:cs="宋体"/>
          <w:color w:val="000000" w:themeColor="text1"/>
          <w:kern w:val="0"/>
          <w:sz w:val="32"/>
          <w:szCs w:val="32"/>
        </w:rPr>
        <w:t>市机关事务局第一幼儿园、市机关事务局第二幼儿园</w:t>
      </w:r>
      <w:r>
        <w:rPr>
          <w:rFonts w:hint="eastAsia" w:ascii="仿宋_GB2312" w:eastAsia="仿宋_GB2312" w:cs="仿宋_GB2312"/>
          <w:color w:val="000000" w:themeColor="text1"/>
          <w:sz w:val="32"/>
          <w:szCs w:val="32"/>
        </w:rPr>
        <w:t>3个二级预算单位</w:t>
      </w:r>
      <w:r>
        <w:rPr>
          <w:rFonts w:hint="eastAsia" w:ascii="仿宋_GB2312" w:hAnsi="宋体" w:eastAsia="仿宋_GB2312" w:cs="宋体"/>
          <w:color w:val="000000" w:themeColor="text1"/>
          <w:kern w:val="0"/>
          <w:sz w:val="32"/>
          <w:szCs w:val="32"/>
        </w:rPr>
        <w:t>。</w:t>
      </w:r>
    </w:p>
    <w:p w14:paraId="0415A549">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市机关事务管理中心相应宗旨和业务范围、本级职能职责情况见表1。</w:t>
      </w:r>
    </w:p>
    <w:p w14:paraId="46A21CDE">
      <w:pPr>
        <w:adjustRightInd w:val="0"/>
        <w:snapToGrid w:val="0"/>
        <w:spacing w:line="360" w:lineRule="auto"/>
        <w:ind w:firstLine="560" w:firstLineChars="200"/>
        <w:rPr>
          <w:rFonts w:ascii="黑体" w:hAnsi="黑体" w:eastAsia="黑体"/>
          <w:color w:val="000000" w:themeColor="text1"/>
          <w:sz w:val="28"/>
          <w:szCs w:val="28"/>
        </w:rPr>
      </w:pPr>
    </w:p>
    <w:p w14:paraId="621C15CA">
      <w:pPr>
        <w:adjustRightInd w:val="0"/>
        <w:snapToGrid w:val="0"/>
        <w:spacing w:line="360" w:lineRule="auto"/>
        <w:ind w:firstLine="560" w:firstLineChars="200"/>
        <w:rPr>
          <w:rFonts w:ascii="黑体" w:hAnsi="黑体" w:eastAsia="黑体"/>
          <w:color w:val="000000" w:themeColor="text1"/>
          <w:sz w:val="28"/>
          <w:szCs w:val="28"/>
        </w:rPr>
      </w:pPr>
    </w:p>
    <w:p w14:paraId="3EB29FF6">
      <w:pPr>
        <w:adjustRightInd w:val="0"/>
        <w:snapToGrid w:val="0"/>
        <w:spacing w:line="360" w:lineRule="auto"/>
        <w:ind w:firstLine="400" w:firstLineChars="200"/>
        <w:rPr>
          <w:rFonts w:ascii="仿宋_GB2312" w:hAnsi="宋体" w:eastAsia="仿宋_GB2312" w:cs="宋体"/>
          <w:color w:val="000000" w:themeColor="text1"/>
          <w:kern w:val="0"/>
          <w:sz w:val="20"/>
          <w:szCs w:val="20"/>
        </w:rPr>
      </w:pPr>
    </w:p>
    <w:p w14:paraId="1DDB372C">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w:t>
      </w:r>
      <w:r>
        <w:rPr>
          <w:rFonts w:ascii="黑体" w:hAnsi="黑体" w:eastAsia="黑体"/>
          <w:color w:val="000000" w:themeColor="text1"/>
          <w:sz w:val="28"/>
          <w:szCs w:val="28"/>
        </w:rPr>
        <w:t>1</w:t>
      </w:r>
      <w:r>
        <w:rPr>
          <w:rFonts w:hint="eastAsia" w:ascii="黑体" w:hAnsi="黑体" w:eastAsia="黑体"/>
          <w:color w:val="000000" w:themeColor="text1"/>
          <w:sz w:val="28"/>
          <w:szCs w:val="28"/>
        </w:rPr>
        <w:t>：部门职能职责情况</w:t>
      </w:r>
      <w:r>
        <w:rPr>
          <w:rFonts w:ascii="黑体" w:hAnsi="黑体" w:eastAsia="黑体"/>
          <w:color w:val="000000" w:themeColor="text1"/>
          <w:sz w:val="28"/>
          <w:szCs w:val="28"/>
        </w:rPr>
        <w:t>表</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075"/>
        <w:gridCol w:w="7287"/>
      </w:tblGrid>
      <w:tr w14:paraId="2D59F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blHeader/>
        </w:trPr>
        <w:tc>
          <w:tcPr>
            <w:tcW w:w="643" w:type="pct"/>
            <w:vAlign w:val="center"/>
          </w:tcPr>
          <w:p w14:paraId="1413DBB3">
            <w:pPr>
              <w:adjustRightInd w:val="0"/>
              <w:jc w:val="center"/>
              <w:rPr>
                <w:rFonts w:ascii="宋体" w:hAnsi="宋体" w:cs="仿宋"/>
                <w:b/>
                <w:color w:val="000000" w:themeColor="text1"/>
                <w:kern w:val="0"/>
                <w:sz w:val="20"/>
                <w:szCs w:val="20"/>
              </w:rPr>
            </w:pPr>
            <w:r>
              <w:rPr>
                <w:rFonts w:hint="eastAsia" w:ascii="宋体" w:hAnsi="宋体" w:cs="仿宋"/>
                <w:b/>
                <w:color w:val="000000" w:themeColor="text1"/>
                <w:kern w:val="0"/>
                <w:sz w:val="20"/>
                <w:szCs w:val="20"/>
              </w:rPr>
              <w:t>类别</w:t>
            </w:r>
          </w:p>
        </w:tc>
        <w:tc>
          <w:tcPr>
            <w:tcW w:w="4356" w:type="pct"/>
            <w:vAlign w:val="center"/>
          </w:tcPr>
          <w:p w14:paraId="63A3D6A0">
            <w:pPr>
              <w:adjustRightInd w:val="0"/>
              <w:jc w:val="center"/>
              <w:rPr>
                <w:rFonts w:ascii="宋体" w:hAnsi="宋体" w:cs="仿宋"/>
                <w:b/>
                <w:color w:val="000000" w:themeColor="text1"/>
                <w:kern w:val="0"/>
                <w:sz w:val="20"/>
                <w:szCs w:val="20"/>
              </w:rPr>
            </w:pPr>
            <w:r>
              <w:rPr>
                <w:rFonts w:hint="eastAsia" w:ascii="宋体" w:hAnsi="宋体" w:cs="仿宋"/>
                <w:b/>
                <w:color w:val="000000" w:themeColor="text1"/>
                <w:kern w:val="0"/>
                <w:sz w:val="20"/>
                <w:szCs w:val="20"/>
              </w:rPr>
              <w:t>内容</w:t>
            </w:r>
          </w:p>
        </w:tc>
      </w:tr>
      <w:tr w14:paraId="6F499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90" w:hRule="atLeast"/>
        </w:trPr>
        <w:tc>
          <w:tcPr>
            <w:tcW w:w="643" w:type="pct"/>
            <w:vAlign w:val="center"/>
          </w:tcPr>
          <w:p w14:paraId="3B50033A">
            <w:pPr>
              <w:adjustRightInd w:val="0"/>
              <w:jc w:val="center"/>
              <w:rPr>
                <w:rFonts w:ascii="宋体" w:hAnsi="宋体" w:cs="仿宋"/>
                <w:b/>
                <w:color w:val="000000" w:themeColor="text1"/>
                <w:kern w:val="0"/>
                <w:sz w:val="20"/>
                <w:szCs w:val="20"/>
              </w:rPr>
            </w:pPr>
            <w:r>
              <w:rPr>
                <w:rFonts w:hint="eastAsia" w:ascii="宋体" w:hAnsi="宋体" w:cs="仿宋"/>
                <w:b/>
                <w:color w:val="000000" w:themeColor="text1"/>
                <w:kern w:val="0"/>
                <w:sz w:val="20"/>
                <w:szCs w:val="20"/>
              </w:rPr>
              <w:t>部门宗旨和业务范围</w:t>
            </w:r>
          </w:p>
        </w:tc>
        <w:tc>
          <w:tcPr>
            <w:tcW w:w="4356" w:type="pct"/>
            <w:vAlign w:val="center"/>
          </w:tcPr>
          <w:p w14:paraId="706C14DF">
            <w:pPr>
              <w:adjustRightInd w:val="0"/>
              <w:rPr>
                <w:rFonts w:ascii="宋体" w:hAnsi="宋体" w:cs="仿宋"/>
                <w:bCs/>
                <w:color w:val="000000" w:themeColor="text1"/>
                <w:kern w:val="0"/>
                <w:sz w:val="20"/>
                <w:szCs w:val="20"/>
              </w:rPr>
            </w:pPr>
            <w:r>
              <w:rPr>
                <w:rFonts w:hint="eastAsia" w:ascii="宋体" w:hAnsi="宋体" w:cs="仿宋"/>
                <w:bCs/>
                <w:color w:val="000000" w:themeColor="text1"/>
                <w:kern w:val="0"/>
                <w:sz w:val="20"/>
                <w:szCs w:val="20"/>
              </w:rPr>
              <w:t>1.负责核心区集中办公区国有资产管理、办公用房管理、经费管理、节能等工作。2.承担核心区集中办公区服务保障、安全保卫、相关社会事务协调等工作。</w:t>
            </w:r>
          </w:p>
          <w:p w14:paraId="2CB854B8">
            <w:pPr>
              <w:adjustRightInd w:val="0"/>
              <w:rPr>
                <w:rFonts w:ascii="宋体" w:hAnsi="宋体" w:cs="仿宋"/>
                <w:bCs/>
                <w:color w:val="000000" w:themeColor="text1"/>
                <w:kern w:val="0"/>
                <w:sz w:val="20"/>
                <w:szCs w:val="20"/>
              </w:rPr>
            </w:pPr>
            <w:r>
              <w:rPr>
                <w:rFonts w:hint="eastAsia" w:ascii="宋体" w:hAnsi="宋体" w:cs="仿宋"/>
                <w:bCs/>
                <w:color w:val="000000" w:themeColor="text1"/>
                <w:kern w:val="0"/>
                <w:sz w:val="20"/>
                <w:szCs w:val="20"/>
              </w:rPr>
              <w:t>3.按要求为中央国家机关、北京市在核心区的重要会议，重要活动提供相关服务保障。</w:t>
            </w:r>
          </w:p>
          <w:p w14:paraId="2E9A359D">
            <w:pPr>
              <w:adjustRightInd w:val="0"/>
              <w:rPr>
                <w:rFonts w:ascii="宋体" w:hAnsi="宋体" w:cs="仿宋"/>
                <w:bCs/>
                <w:color w:val="000000" w:themeColor="text1"/>
                <w:kern w:val="0"/>
                <w:sz w:val="20"/>
                <w:szCs w:val="20"/>
              </w:rPr>
            </w:pPr>
            <w:r>
              <w:rPr>
                <w:rFonts w:hint="eastAsia" w:ascii="宋体" w:hAnsi="宋体" w:cs="仿宋"/>
                <w:bCs/>
                <w:color w:val="000000" w:themeColor="text1"/>
                <w:kern w:val="0"/>
                <w:sz w:val="20"/>
                <w:szCs w:val="20"/>
              </w:rPr>
              <w:t>4.完成北京市机关事务管理局交办的其他任务。</w:t>
            </w:r>
          </w:p>
        </w:tc>
      </w:tr>
      <w:tr w14:paraId="2298C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90" w:hRule="atLeast"/>
        </w:trPr>
        <w:tc>
          <w:tcPr>
            <w:tcW w:w="643" w:type="pct"/>
            <w:vAlign w:val="center"/>
          </w:tcPr>
          <w:p w14:paraId="07AF69CE">
            <w:pPr>
              <w:adjustRightInd w:val="0"/>
              <w:jc w:val="center"/>
              <w:rPr>
                <w:rFonts w:ascii="宋体" w:hAnsi="宋体" w:cs="仿宋"/>
                <w:b/>
                <w:color w:val="000000" w:themeColor="text1"/>
                <w:kern w:val="0"/>
                <w:sz w:val="20"/>
                <w:szCs w:val="20"/>
              </w:rPr>
            </w:pPr>
            <w:r>
              <w:rPr>
                <w:rFonts w:hint="eastAsia" w:ascii="宋体" w:hAnsi="宋体" w:cs="仿宋"/>
                <w:b/>
                <w:color w:val="000000" w:themeColor="text1"/>
                <w:kern w:val="0"/>
                <w:sz w:val="20"/>
                <w:szCs w:val="20"/>
              </w:rPr>
              <w:t>本级职能职责</w:t>
            </w:r>
          </w:p>
        </w:tc>
        <w:tc>
          <w:tcPr>
            <w:tcW w:w="4356" w:type="pct"/>
            <w:vAlign w:val="center"/>
          </w:tcPr>
          <w:p w14:paraId="1AEBA187">
            <w:pPr>
              <w:adjustRightInd w:val="0"/>
              <w:rPr>
                <w:rFonts w:ascii="宋体" w:hAnsi="宋体" w:cs="仿宋"/>
                <w:bCs/>
                <w:color w:val="000000" w:themeColor="text1"/>
                <w:kern w:val="0"/>
                <w:sz w:val="20"/>
                <w:szCs w:val="20"/>
              </w:rPr>
            </w:pPr>
            <w:r>
              <w:rPr>
                <w:rFonts w:ascii="宋体" w:hAnsi="宋体" w:cs="仿宋"/>
                <w:bCs/>
                <w:color w:val="000000" w:themeColor="text1"/>
                <w:kern w:val="0"/>
                <w:sz w:val="20"/>
                <w:szCs w:val="20"/>
              </w:rPr>
              <w:t>1.</w:t>
            </w:r>
            <w:r>
              <w:rPr>
                <w:rFonts w:hint="eastAsia" w:ascii="宋体" w:hAnsi="宋体" w:cs="仿宋"/>
                <w:bCs/>
                <w:color w:val="000000" w:themeColor="text1"/>
                <w:kern w:val="0"/>
                <w:sz w:val="20"/>
                <w:szCs w:val="20"/>
              </w:rPr>
              <w:t>负责为在中环办公楼、槐柏树街办公区、六里桥办公区和南礼士路办公区办公的部门和单位提供机关事务服务保障。</w:t>
            </w:r>
          </w:p>
          <w:p w14:paraId="1539AA47">
            <w:pPr>
              <w:adjustRightInd w:val="0"/>
              <w:rPr>
                <w:rFonts w:ascii="宋体" w:hAnsi="宋体" w:cs="仿宋"/>
                <w:bCs/>
                <w:color w:val="000000" w:themeColor="text1"/>
                <w:kern w:val="0"/>
                <w:sz w:val="20"/>
                <w:szCs w:val="20"/>
              </w:rPr>
            </w:pPr>
            <w:r>
              <w:rPr>
                <w:rFonts w:ascii="宋体" w:hAnsi="宋体" w:cs="仿宋"/>
                <w:bCs/>
                <w:color w:val="000000" w:themeColor="text1"/>
                <w:kern w:val="0"/>
                <w:sz w:val="20"/>
                <w:szCs w:val="20"/>
              </w:rPr>
              <w:t>2.</w:t>
            </w:r>
            <w:r>
              <w:rPr>
                <w:rFonts w:hint="eastAsia" w:ascii="宋体" w:hAnsi="宋体" w:cs="仿宋"/>
                <w:bCs/>
                <w:color w:val="000000" w:themeColor="text1"/>
                <w:kern w:val="0"/>
                <w:sz w:val="20"/>
                <w:szCs w:val="20"/>
              </w:rPr>
              <w:t>负责管理办的经费管理、资产管理等工作。</w:t>
            </w:r>
          </w:p>
          <w:p w14:paraId="63F867A1">
            <w:pPr>
              <w:adjustRightInd w:val="0"/>
              <w:rPr>
                <w:rFonts w:ascii="宋体" w:hAnsi="宋体" w:cs="仿宋"/>
                <w:bCs/>
                <w:color w:val="000000" w:themeColor="text1"/>
                <w:kern w:val="0"/>
                <w:sz w:val="20"/>
                <w:szCs w:val="20"/>
              </w:rPr>
            </w:pPr>
            <w:r>
              <w:rPr>
                <w:rFonts w:ascii="宋体" w:hAnsi="宋体" w:cs="仿宋"/>
                <w:bCs/>
                <w:color w:val="000000" w:themeColor="text1"/>
                <w:kern w:val="0"/>
                <w:sz w:val="20"/>
                <w:szCs w:val="20"/>
              </w:rPr>
              <w:t>3.</w:t>
            </w:r>
            <w:r>
              <w:rPr>
                <w:rFonts w:hint="eastAsia" w:ascii="宋体" w:hAnsi="宋体" w:cs="仿宋"/>
                <w:bCs/>
                <w:color w:val="000000" w:themeColor="text1"/>
                <w:kern w:val="0"/>
                <w:sz w:val="20"/>
                <w:szCs w:val="20"/>
              </w:rPr>
              <w:t>协助做好局离退休人员事务管理工作。</w:t>
            </w:r>
          </w:p>
          <w:p w14:paraId="55C238AA">
            <w:pPr>
              <w:adjustRightInd w:val="0"/>
              <w:rPr>
                <w:rFonts w:ascii="宋体" w:hAnsi="宋体" w:cs="仿宋"/>
                <w:bCs/>
                <w:color w:val="000000" w:themeColor="text1"/>
                <w:kern w:val="0"/>
                <w:sz w:val="20"/>
                <w:szCs w:val="20"/>
              </w:rPr>
            </w:pPr>
            <w:r>
              <w:rPr>
                <w:rFonts w:ascii="宋体" w:hAnsi="宋体" w:cs="仿宋"/>
                <w:bCs/>
                <w:color w:val="000000" w:themeColor="text1"/>
                <w:kern w:val="0"/>
                <w:sz w:val="20"/>
                <w:szCs w:val="20"/>
              </w:rPr>
              <w:t>4.</w:t>
            </w:r>
            <w:r>
              <w:rPr>
                <w:rFonts w:hint="eastAsia" w:ascii="宋体" w:hAnsi="宋体" w:cs="仿宋"/>
                <w:bCs/>
                <w:color w:val="000000" w:themeColor="text1"/>
                <w:kern w:val="0"/>
                <w:sz w:val="20"/>
                <w:szCs w:val="20"/>
              </w:rPr>
              <w:t>承担局机关交办的其他事项。</w:t>
            </w:r>
          </w:p>
        </w:tc>
      </w:tr>
    </w:tbl>
    <w:p w14:paraId="00CC0AFD">
      <w:pPr>
        <w:adjustRightInd w:val="0"/>
        <w:snapToGrid w:val="0"/>
        <w:spacing w:line="360" w:lineRule="auto"/>
        <w:ind w:firstLine="400" w:firstLineChars="200"/>
        <w:rPr>
          <w:rFonts w:ascii="仿宋_GB2312" w:hAnsi="宋体" w:eastAsia="仿宋_GB2312" w:cs="宋体"/>
          <w:color w:val="000000" w:themeColor="text1"/>
          <w:kern w:val="0"/>
          <w:sz w:val="20"/>
          <w:szCs w:val="20"/>
        </w:rPr>
      </w:pPr>
    </w:p>
    <w:p w14:paraId="074BA57D">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2.</w:t>
      </w:r>
      <w:r>
        <w:rPr>
          <w:rFonts w:hint="eastAsia" w:ascii="仿宋_GB2312" w:eastAsia="仿宋_GB2312"/>
          <w:bCs/>
          <w:color w:val="000000" w:themeColor="text1"/>
          <w:sz w:val="32"/>
          <w:szCs w:val="32"/>
        </w:rPr>
        <w:t>部门2</w:t>
      </w:r>
      <w:r>
        <w:rPr>
          <w:rFonts w:ascii="仿宋_GB2312" w:eastAsia="仿宋_GB2312"/>
          <w:bCs/>
          <w:color w:val="000000" w:themeColor="text1"/>
          <w:sz w:val="32"/>
          <w:szCs w:val="32"/>
        </w:rPr>
        <w:t>02</w:t>
      </w:r>
      <w:r>
        <w:rPr>
          <w:rFonts w:hint="eastAsia" w:ascii="仿宋_GB2312" w:eastAsia="仿宋_GB2312"/>
          <w:bCs/>
          <w:color w:val="000000" w:themeColor="text1"/>
          <w:sz w:val="32"/>
          <w:szCs w:val="32"/>
        </w:rPr>
        <w:t>4年工作任务情况</w:t>
      </w:r>
    </w:p>
    <w:p w14:paraId="66282317">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市机关事务管理中心结合履职需求，围绕拟开展的工作，制定了《管理中心2024年重点工作安排》，</w:t>
      </w:r>
      <w:r>
        <w:rPr>
          <w:rFonts w:ascii="仿宋_GB2312" w:hAnsi="宋体" w:eastAsia="仿宋_GB2312" w:cs="宋体"/>
          <w:color w:val="000000" w:themeColor="text1"/>
          <w:kern w:val="0"/>
          <w:sz w:val="32"/>
          <w:szCs w:val="32"/>
        </w:rPr>
        <w:t>202</w:t>
      </w:r>
      <w:r>
        <w:rPr>
          <w:rFonts w:hint="eastAsia" w:ascii="仿宋_GB2312" w:hAnsi="宋体" w:eastAsia="仿宋_GB2312" w:cs="宋体"/>
          <w:color w:val="000000" w:themeColor="text1"/>
          <w:kern w:val="0"/>
          <w:sz w:val="32"/>
          <w:szCs w:val="32"/>
        </w:rPr>
        <w:t>4年度围绕6类、27项重点任务开展相关工作（见表2），旨在通过核心区集中办公区的行政管理和服务保障工作的顺利开展，创造良好办公环境，推动机关事务管理效率和服务水平的提升。</w:t>
      </w:r>
    </w:p>
    <w:p w14:paraId="10AAC43E">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w:t>
      </w:r>
      <w:r>
        <w:rPr>
          <w:rFonts w:ascii="黑体" w:hAnsi="黑体" w:eastAsia="黑体"/>
          <w:color w:val="000000" w:themeColor="text1"/>
          <w:sz w:val="28"/>
          <w:szCs w:val="28"/>
        </w:rPr>
        <w:t>2</w:t>
      </w:r>
      <w:r>
        <w:rPr>
          <w:rFonts w:hint="eastAsia" w:ascii="黑体" w:hAnsi="黑体" w:eastAsia="黑体"/>
          <w:color w:val="000000" w:themeColor="text1"/>
          <w:sz w:val="28"/>
          <w:szCs w:val="28"/>
        </w:rPr>
        <w:t>：市机关事务管理中心2</w:t>
      </w:r>
      <w:r>
        <w:rPr>
          <w:rFonts w:ascii="黑体" w:hAnsi="黑体" w:eastAsia="黑体"/>
          <w:color w:val="000000" w:themeColor="text1"/>
          <w:sz w:val="28"/>
          <w:szCs w:val="28"/>
        </w:rPr>
        <w:t>0</w:t>
      </w:r>
      <w:r>
        <w:rPr>
          <w:rFonts w:hint="eastAsia" w:ascii="黑体" w:hAnsi="黑体" w:eastAsia="黑体"/>
          <w:color w:val="000000" w:themeColor="text1"/>
          <w:sz w:val="28"/>
          <w:szCs w:val="28"/>
        </w:rPr>
        <w:t>24年重点工作安排情况表</w:t>
      </w:r>
    </w:p>
    <w:tbl>
      <w:tblPr>
        <w:tblStyle w:val="14"/>
        <w:tblW w:w="4998" w:type="pct"/>
        <w:jc w:val="center"/>
        <w:tblLayout w:type="autofit"/>
        <w:tblCellMar>
          <w:top w:w="0" w:type="dxa"/>
          <w:left w:w="28" w:type="dxa"/>
          <w:bottom w:w="0" w:type="dxa"/>
          <w:right w:w="28" w:type="dxa"/>
        </w:tblCellMar>
      </w:tblPr>
      <w:tblGrid>
        <w:gridCol w:w="490"/>
        <w:gridCol w:w="1433"/>
        <w:gridCol w:w="6436"/>
      </w:tblGrid>
      <w:tr w14:paraId="7CBA1067">
        <w:tblPrEx>
          <w:tblCellMar>
            <w:top w:w="0" w:type="dxa"/>
            <w:left w:w="28" w:type="dxa"/>
            <w:bottom w:w="0" w:type="dxa"/>
            <w:right w:w="28" w:type="dxa"/>
          </w:tblCellMar>
        </w:tblPrEx>
        <w:trPr>
          <w:trHeight w:val="460" w:hRule="atLeast"/>
          <w:tblHeader/>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16D98">
            <w:pPr>
              <w:widowControl/>
              <w:adjustRightInd w:val="0"/>
              <w:snapToGrid w:val="0"/>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序号</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53E57">
            <w:pPr>
              <w:widowControl/>
              <w:adjustRightInd w:val="0"/>
              <w:snapToGrid w:val="0"/>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分类</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5C1B7">
            <w:pPr>
              <w:widowControl/>
              <w:adjustRightInd w:val="0"/>
              <w:snapToGrid w:val="0"/>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任务</w:t>
            </w:r>
          </w:p>
        </w:tc>
      </w:tr>
      <w:tr w14:paraId="2C8BE1B0">
        <w:tblPrEx>
          <w:tblCellMar>
            <w:top w:w="0" w:type="dxa"/>
            <w:left w:w="28" w:type="dxa"/>
            <w:bottom w:w="0" w:type="dxa"/>
            <w:right w:w="28" w:type="dxa"/>
          </w:tblCellMar>
        </w:tblPrEx>
        <w:trPr>
          <w:trHeight w:val="1784"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C11DB">
            <w:pPr>
              <w:widowControl/>
              <w:adjustRightInd w:val="0"/>
              <w:snapToGrid w:val="0"/>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1</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427E4">
            <w:pPr>
              <w:widowControl/>
              <w:adjustRightInd w:val="0"/>
              <w:snapToGrid w:val="0"/>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坚决完成巡视反馈问题和局全面从严治党（党建）工作检查考核指出问题的整改</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44AEB">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1.针对市委第三巡视组巡视反馈问题和局全面从严治党（党建）检查考核工作检查出的问题，统一思想，提高认识，认真整改，真抓实干。</w:t>
            </w:r>
          </w:p>
          <w:p w14:paraId="67A63A64">
            <w:pPr>
              <w:widowControl/>
              <w:adjustRightInd w:val="0"/>
              <w:snapToGrid w:val="0"/>
              <w:jc w:val="left"/>
              <w:textAlignment w:val="center"/>
              <w:rPr>
                <w:rFonts w:ascii="宋体" w:hAnsi="宋体" w:cs="宋体"/>
                <w:color w:val="000000" w:themeColor="text1"/>
                <w:sz w:val="20"/>
                <w:szCs w:val="20"/>
              </w:rPr>
            </w:pPr>
            <w:r>
              <w:rPr>
                <w:rFonts w:hint="eastAsia" w:ascii="宋体" w:hAnsi="宋体" w:cs="宋体"/>
                <w:color w:val="000000" w:themeColor="text1"/>
                <w:sz w:val="20"/>
                <w:szCs w:val="20"/>
              </w:rPr>
              <w:t>2.进一步规范组织生活，在项目化推进、整改措施落地兑现、做好服务保障上拿出更多务实举措。</w:t>
            </w:r>
          </w:p>
          <w:p w14:paraId="0226C025">
            <w:pPr>
              <w:widowControl/>
              <w:adjustRightInd w:val="0"/>
              <w:snapToGrid w:val="0"/>
              <w:jc w:val="left"/>
              <w:textAlignment w:val="center"/>
              <w:rPr>
                <w:rFonts w:ascii="宋体" w:hAnsi="宋体" w:cs="宋体"/>
                <w:color w:val="000000" w:themeColor="text1"/>
                <w:sz w:val="20"/>
                <w:szCs w:val="20"/>
              </w:rPr>
            </w:pPr>
            <w:r>
              <w:rPr>
                <w:rFonts w:hint="eastAsia" w:ascii="宋体" w:hAnsi="宋体" w:cs="宋体"/>
                <w:color w:val="000000" w:themeColor="text1"/>
                <w:sz w:val="20"/>
                <w:szCs w:val="20"/>
              </w:rPr>
              <w:t>3.下大力改进管理体制改革、规范运行保障、高质量发展等方面存在的问题，做好整改落实和成果转化。</w:t>
            </w:r>
          </w:p>
        </w:tc>
      </w:tr>
      <w:tr w14:paraId="7EEFE549">
        <w:tblPrEx>
          <w:tblCellMar>
            <w:top w:w="0" w:type="dxa"/>
            <w:left w:w="28" w:type="dxa"/>
            <w:bottom w:w="0" w:type="dxa"/>
            <w:right w:w="28" w:type="dxa"/>
          </w:tblCellMar>
        </w:tblPrEx>
        <w:trPr>
          <w:trHeight w:val="2813"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14D5E">
            <w:pPr>
              <w:widowControl/>
              <w:adjustRightInd w:val="0"/>
              <w:snapToGrid w:val="0"/>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2</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B45B2">
            <w:pPr>
              <w:widowControl/>
              <w:adjustRightInd w:val="0"/>
              <w:snapToGrid w:val="0"/>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不断推进主题教育常态化</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6D015">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1.贯彻落实市委十三届四次全会精神，常态化开展学习贯彻习近平新时代中国特色社会主义思想主题教育，同时把两级党组织在推进落实主题教育过程中所形成的经验做法总结好、运用好、坚持好。</w:t>
            </w:r>
          </w:p>
          <w:p w14:paraId="49B57C8A">
            <w:pPr>
              <w:widowControl/>
              <w:adjustRightInd w:val="0"/>
              <w:snapToGrid w:val="0"/>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2.深入学习宣传贯彻习近平文化思想，严格落实意识形态工作责任制。培育和践行社会主义核心价值观，持续开展“五史”宣传教育。</w:t>
            </w:r>
          </w:p>
          <w:p w14:paraId="7357C529">
            <w:pPr>
              <w:widowControl/>
              <w:adjustRightInd w:val="0"/>
              <w:snapToGrid w:val="0"/>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3.把党建工作融入保障重大活动、服务重要会议等日常业务工作，不断提高科学决策能力和履职实践能力，做到市委提倡的“更加注重服务大局、主动作为，更加注重稳中求进、系统施策，更加注重以进促稳、提质增效，更加注重先立后破、改革创新，更加注重底线思维、防范风险”，切实把主题教育成效转化为推动机关事务工作高质量发展的强大动力。</w:t>
            </w:r>
          </w:p>
        </w:tc>
      </w:tr>
      <w:tr w14:paraId="342D384F">
        <w:tblPrEx>
          <w:tblCellMar>
            <w:top w:w="0" w:type="dxa"/>
            <w:left w:w="28" w:type="dxa"/>
            <w:bottom w:w="0" w:type="dxa"/>
            <w:right w:w="28" w:type="dxa"/>
          </w:tblCellMar>
        </w:tblPrEx>
        <w:trPr>
          <w:trHeight w:val="9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5C9A1">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F0106">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完善两级党组织建设和干部队伍建设</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C7AA1">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1.组织中心“两委”选举和各党支部委员改选工作。</w:t>
            </w:r>
          </w:p>
          <w:p w14:paraId="7A0C7CED">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2.坚持“三会一课”、组织生活会、谈心谈话、“三重一大”等制度，规范组织生活。</w:t>
            </w:r>
          </w:p>
          <w:p w14:paraId="55F87E67">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3.利用主题党日活动、讲党课、警示教育等各种方式，激发大家全力做好管理服务保障工作的热情和活力。</w:t>
            </w:r>
          </w:p>
          <w:p w14:paraId="10BF6E80">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4.严格执行选人用人各项规定，启动新一轮的招聘工作。</w:t>
            </w:r>
          </w:p>
          <w:p w14:paraId="336CC233">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5.针对性地组织干部开展学习培训、岗位练兵，培养一支讲政治、能扛活、有情怀的高素质机关事务服务保障干部队伍。</w:t>
            </w:r>
          </w:p>
        </w:tc>
      </w:tr>
      <w:tr w14:paraId="10DA20AA">
        <w:tblPrEx>
          <w:tblCellMar>
            <w:top w:w="0" w:type="dxa"/>
            <w:left w:w="28" w:type="dxa"/>
            <w:bottom w:w="0" w:type="dxa"/>
            <w:right w:w="28" w:type="dxa"/>
          </w:tblCellMar>
        </w:tblPrEx>
        <w:trPr>
          <w:trHeight w:val="162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221E4">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3F32E">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主动热情周到细致做好市级机关二期搬迁</w:t>
            </w:r>
            <w:r>
              <w:rPr>
                <w:rFonts w:hint="eastAsia"/>
                <w:color w:val="000000" w:themeColor="text1"/>
              </w:rPr>
              <w:t>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53D08">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1.搬迁时间确定后，强化责任担当，做好调度衔接，第一时间逐一走访，主动对接各单位，询问服务保障需求。</w:t>
            </w:r>
          </w:p>
          <w:p w14:paraId="038DEF91">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2.开设搬迁“绿色”服务通道，提前准备搬家时停车场地、专梯、各类保障物资和餐饮服务保障。</w:t>
            </w:r>
          </w:p>
          <w:p w14:paraId="787004E1">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3.做好资产交接、盘点、统计工作，账物相符，确保搬迁工作顺利平稳有序。</w:t>
            </w:r>
          </w:p>
        </w:tc>
      </w:tr>
      <w:tr w14:paraId="38F9F3B1">
        <w:tblPrEx>
          <w:tblCellMar>
            <w:top w:w="0" w:type="dxa"/>
            <w:left w:w="28" w:type="dxa"/>
            <w:bottom w:w="0" w:type="dxa"/>
            <w:right w:w="28" w:type="dxa"/>
          </w:tblCellMar>
        </w:tblPrEx>
        <w:trPr>
          <w:trHeight w:val="4791"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B2771">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5</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08D28">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聚焦主责主业提高运行保障质量</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91E3A">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1.系统提升重要会议重大活动服务保障水平，总结推广槐柏树街办公区全国机关事务先进单位的成功经验，固化服务保障常态化工作机制。</w:t>
            </w:r>
          </w:p>
          <w:p w14:paraId="7AEA9A01">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2.做好六里桥办公区、台基厂8号院、工会西院等重要点位以及市级部门和工作专班进驻的服务保障工作。</w:t>
            </w:r>
          </w:p>
          <w:p w14:paraId="3C60A12A">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3.制定提升城区办公区餐饮服务保障措施，提高食堂餐饮管理服务规范化、精细化水平和服务保障质量。</w:t>
            </w:r>
          </w:p>
          <w:p w14:paraId="4A35C4C4">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4.总结参加局物业服务技能比赛的经验，加强服务技能学习交流，促进物业服务质量的有效提升。</w:t>
            </w:r>
          </w:p>
          <w:p w14:paraId="70CAE96E">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5.做好安全生产和火灾隐患大排查大整治及有限空间作业“双防一推进”安全检查专项行动。</w:t>
            </w:r>
          </w:p>
          <w:p w14:paraId="45E71515">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6.集中排查整治危化品、食堂燃气管理、施工安全、电动自行车充电、设施设备安全运行等重点事项。</w:t>
            </w:r>
          </w:p>
          <w:p w14:paraId="5A536111">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7.完善新入驻单位安全机制，处理好统分相结合和安全责任制的落实。</w:t>
            </w:r>
          </w:p>
          <w:p w14:paraId="7F15F41A">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8.加强资金统筹力度，进一步压减行政运行成本，做好预算绩效管理。</w:t>
            </w:r>
          </w:p>
          <w:p w14:paraId="44BB832B">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9.发挥好内审和采购监督作用，不断提升财政资金使用效益。</w:t>
            </w:r>
          </w:p>
          <w:p w14:paraId="422D7C98">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10.市级机关二期搬迁后，认真梳理搬迁后办公区的职责定位和任务，把握好过渡期工作特点和长远发展的规律，顶层设计、研究制定二期搬迁后城区机关事务服务保障体制机制。</w:t>
            </w:r>
          </w:p>
        </w:tc>
      </w:tr>
      <w:tr w14:paraId="107F4F13">
        <w:tblPrEx>
          <w:tblCellMar>
            <w:top w:w="0" w:type="dxa"/>
            <w:left w:w="28" w:type="dxa"/>
            <w:bottom w:w="0" w:type="dxa"/>
            <w:right w:w="28" w:type="dxa"/>
          </w:tblCellMar>
        </w:tblPrEx>
        <w:trPr>
          <w:trHeight w:val="1789"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6DBA7">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6</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C48CF">
            <w:pPr>
              <w:widowControl/>
              <w:adjustRightInd w:val="0"/>
              <w:snapToGrid w:val="0"/>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精心精细着力抓好幼教工作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D210D">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1.加强教学管理、师德师风建设和人文关怀，做好教师的选调、配备和培养等工作，关心幼儿身心安全健康。</w:t>
            </w:r>
          </w:p>
          <w:p w14:paraId="2806CBA3">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2.不断研究创新教学方法，拓宽家教共育新途径，做好新生入园、开学典礼、教师节庆祝慰问、毕业典礼等活动。</w:t>
            </w:r>
          </w:p>
          <w:p w14:paraId="20626DE9">
            <w:pPr>
              <w:widowControl/>
              <w:adjustRightInd w:val="0"/>
              <w:snapToGrid w:val="0"/>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3.巩固特色办园成果，不断总结托班好经验好做法，不断提高托班办学水平，不辜负市领导和机关干部的信任和重托。</w:t>
            </w:r>
          </w:p>
        </w:tc>
      </w:tr>
    </w:tbl>
    <w:p w14:paraId="10E646D2">
      <w:pPr>
        <w:adjustRightInd w:val="0"/>
        <w:snapToGrid w:val="0"/>
        <w:spacing w:line="360" w:lineRule="auto"/>
        <w:rPr>
          <w:rFonts w:ascii="黑体" w:hAnsi="黑体" w:eastAsia="黑体"/>
          <w:color w:val="000000" w:themeColor="text1"/>
          <w:sz w:val="20"/>
          <w:szCs w:val="20"/>
        </w:rPr>
      </w:pPr>
    </w:p>
    <w:p w14:paraId="1233A998">
      <w:pPr>
        <w:adjustRightInd w:val="0"/>
        <w:snapToGrid w:val="0"/>
        <w:spacing w:line="360" w:lineRule="auto"/>
        <w:ind w:firstLine="640" w:firstLineChars="200"/>
        <w:outlineLvl w:val="1"/>
        <w:rPr>
          <w:rFonts w:ascii="楷体_GB2312" w:eastAsia="楷体_GB2312"/>
          <w:color w:val="000000" w:themeColor="text1"/>
          <w:sz w:val="32"/>
          <w:szCs w:val="32"/>
        </w:rPr>
      </w:pPr>
      <w:bookmarkStart w:id="2" w:name="_Toc16147"/>
      <w:r>
        <w:rPr>
          <w:rFonts w:hint="eastAsia" w:ascii="楷体_GB2312" w:eastAsia="楷体_GB2312"/>
          <w:color w:val="000000" w:themeColor="text1"/>
          <w:sz w:val="32"/>
          <w:szCs w:val="32"/>
        </w:rPr>
        <w:t>（二）部门整体绩效目标设立情况</w:t>
      </w:r>
      <w:bookmarkEnd w:id="2"/>
    </w:p>
    <w:p w14:paraId="7CFD3146">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w:t>
      </w:r>
      <w:r>
        <w:rPr>
          <w:rFonts w:ascii="仿宋_GB2312" w:hAnsi="宋体" w:eastAsia="仿宋_GB2312" w:cs="宋体"/>
          <w:color w:val="000000" w:themeColor="text1"/>
          <w:kern w:val="0"/>
          <w:sz w:val="32"/>
          <w:szCs w:val="32"/>
        </w:rPr>
        <w:t>.</w:t>
      </w:r>
      <w:r>
        <w:rPr>
          <w:rFonts w:hint="eastAsia" w:ascii="仿宋_GB2312" w:eastAsia="仿宋_GB2312"/>
          <w:bCs/>
          <w:color w:val="000000" w:themeColor="text1"/>
          <w:sz w:val="32"/>
          <w:szCs w:val="32"/>
        </w:rPr>
        <w:t>绩效目标设立依据</w:t>
      </w:r>
    </w:p>
    <w:p w14:paraId="62BE13D7">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市机关事务管理中心根据2024年度部门预算编制要求、围绕部门职能职责、结合2024年度重点工作，设置了部门整体绩效目标，主要设立依据如下：</w:t>
      </w:r>
    </w:p>
    <w:p w14:paraId="3C29EAF8">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（1）《中华人民共和国预算法》；</w:t>
      </w:r>
    </w:p>
    <w:p w14:paraId="1552DCF5">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（2）《国务院关于进一步深化预算管理制度改革的意见》（国发</w:t>
      </w:r>
      <w:r>
        <w:rPr>
          <w:rFonts w:ascii="仿宋_GB2312" w:hAnsi="宋体" w:eastAsia="仿宋_GB2312" w:cs="宋体"/>
          <w:color w:val="000000" w:themeColor="text1"/>
          <w:kern w:val="0"/>
          <w:sz w:val="32"/>
          <w:szCs w:val="32"/>
        </w:rPr>
        <w:t>〔20</w:t>
      </w:r>
      <w:r>
        <w:rPr>
          <w:rFonts w:hint="eastAsia" w:ascii="仿宋_GB2312" w:hAnsi="宋体" w:eastAsia="仿宋_GB2312" w:cs="宋体"/>
          <w:color w:val="000000" w:themeColor="text1"/>
          <w:kern w:val="0"/>
          <w:sz w:val="32"/>
          <w:szCs w:val="32"/>
        </w:rPr>
        <w:t>21</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5</w:t>
      </w:r>
      <w:r>
        <w:rPr>
          <w:rFonts w:ascii="仿宋_GB2312" w:hAnsi="宋体" w:eastAsia="仿宋_GB2312" w:cs="宋体"/>
          <w:color w:val="000000" w:themeColor="text1"/>
          <w:kern w:val="0"/>
          <w:sz w:val="32"/>
          <w:szCs w:val="32"/>
        </w:rPr>
        <w:t>号</w:t>
      </w:r>
      <w:r>
        <w:rPr>
          <w:rFonts w:hint="eastAsia" w:ascii="仿宋_GB2312" w:hAnsi="宋体" w:eastAsia="仿宋_GB2312" w:cs="宋体"/>
          <w:color w:val="000000" w:themeColor="text1"/>
          <w:kern w:val="0"/>
          <w:sz w:val="32"/>
          <w:szCs w:val="32"/>
        </w:rPr>
        <w:t>）；</w:t>
      </w:r>
    </w:p>
    <w:p w14:paraId="5C6F609E">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3</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《中共北京市委 北京市人民政府关于全面实施预算绩效管理的实施意见》（京发〔2019〕12号）</w:t>
      </w:r>
      <w:r>
        <w:rPr>
          <w:rFonts w:hint="eastAsia" w:ascii="仿宋_GB2312" w:hAnsi="宋体" w:eastAsia="仿宋_GB2312" w:cs="宋体"/>
          <w:color w:val="000000" w:themeColor="text1"/>
          <w:kern w:val="0"/>
          <w:sz w:val="32"/>
          <w:szCs w:val="32"/>
        </w:rPr>
        <w:t>；</w:t>
      </w:r>
    </w:p>
    <w:p w14:paraId="669657BE">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（4）《中共北京市委机构编制委员会关于印发北京市机关事务管理中心机构职能编制规定的通知》（京编委发〔2021〕14号）；</w:t>
      </w:r>
    </w:p>
    <w:p w14:paraId="74F2305F">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（5）《中共北京市委机构编制委员会关于市机关事务局所属事业单位改革有关事项的批复》（京编委〔2021〕139号）；</w:t>
      </w:r>
    </w:p>
    <w:p w14:paraId="75549FF1">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（6）《北京市财政局关于编制市级部门2024-2026年滚动预算和2024年部门预算的通知》</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京财预〔2023〕1649号</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w:t>
      </w:r>
    </w:p>
    <w:p w14:paraId="65B3988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（7）《北京市财政局关于开展2024年预算绩效管理相关工作的函》；</w:t>
      </w:r>
    </w:p>
    <w:p w14:paraId="55C8CF27">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（8）《北京市财政局关于2025年预算绩效管理工作的通知》（京财绩效〔2025〕245号）；</w:t>
      </w:r>
    </w:p>
    <w:p w14:paraId="16E9CD5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（9）</w:t>
      </w:r>
      <w:r>
        <w:rPr>
          <w:rFonts w:ascii="仿宋_GB2312" w:hAnsi="宋体" w:eastAsia="仿宋_GB2312" w:cs="宋体"/>
          <w:color w:val="000000" w:themeColor="text1"/>
          <w:kern w:val="0"/>
          <w:sz w:val="32"/>
          <w:szCs w:val="32"/>
        </w:rPr>
        <w:t>《北京市机关事务管理中心内设机构岗位说明书》</w:t>
      </w:r>
      <w:r>
        <w:rPr>
          <w:rFonts w:hint="eastAsia" w:ascii="仿宋_GB2312" w:hAnsi="宋体" w:eastAsia="仿宋_GB2312" w:cs="宋体"/>
          <w:color w:val="000000" w:themeColor="text1"/>
          <w:kern w:val="0"/>
          <w:sz w:val="32"/>
          <w:szCs w:val="32"/>
        </w:rPr>
        <w:t>；</w:t>
      </w:r>
    </w:p>
    <w:p w14:paraId="6571F1D8">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（10）</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市机关事务</w:t>
      </w:r>
      <w:r>
        <w:rPr>
          <w:rFonts w:ascii="仿宋_GB2312" w:hAnsi="宋体" w:eastAsia="仿宋_GB2312" w:cs="宋体"/>
          <w:color w:val="000000" w:themeColor="text1"/>
          <w:kern w:val="0"/>
          <w:sz w:val="32"/>
          <w:szCs w:val="32"/>
        </w:rPr>
        <w:t>管理中心202</w:t>
      </w:r>
      <w:r>
        <w:rPr>
          <w:rFonts w:hint="eastAsia" w:ascii="仿宋_GB2312" w:hAnsi="宋体" w:eastAsia="仿宋_GB2312" w:cs="宋体"/>
          <w:color w:val="000000" w:themeColor="text1"/>
          <w:kern w:val="0"/>
          <w:sz w:val="32"/>
          <w:szCs w:val="32"/>
        </w:rPr>
        <w:t>4</w:t>
      </w:r>
      <w:r>
        <w:rPr>
          <w:rFonts w:ascii="仿宋_GB2312" w:hAnsi="宋体" w:eastAsia="仿宋_GB2312" w:cs="宋体"/>
          <w:color w:val="000000" w:themeColor="text1"/>
          <w:kern w:val="0"/>
          <w:sz w:val="32"/>
          <w:szCs w:val="32"/>
        </w:rPr>
        <w:t>年重点工作安排》</w:t>
      </w:r>
      <w:r>
        <w:rPr>
          <w:rFonts w:hint="eastAsia" w:ascii="仿宋_GB2312" w:hAnsi="宋体" w:eastAsia="仿宋_GB2312" w:cs="宋体"/>
          <w:color w:val="000000" w:themeColor="text1"/>
          <w:kern w:val="0"/>
          <w:sz w:val="32"/>
          <w:szCs w:val="32"/>
        </w:rPr>
        <w:t>；</w:t>
      </w:r>
    </w:p>
    <w:p w14:paraId="24C9AF16">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1</w:t>
      </w:r>
      <w:r>
        <w:rPr>
          <w:rFonts w:hint="eastAsia" w:ascii="仿宋_GB2312" w:hAnsi="宋体" w:eastAsia="仿宋_GB2312" w:cs="宋体"/>
          <w:color w:val="000000" w:themeColor="text1"/>
          <w:kern w:val="0"/>
          <w:sz w:val="32"/>
          <w:szCs w:val="32"/>
        </w:rPr>
        <w:t>1）</w:t>
      </w:r>
      <w:r>
        <w:rPr>
          <w:rFonts w:ascii="仿宋_GB2312" w:hAnsi="宋体" w:eastAsia="仿宋_GB2312" w:cs="宋体"/>
          <w:color w:val="000000" w:themeColor="text1"/>
          <w:kern w:val="0"/>
          <w:sz w:val="32"/>
          <w:szCs w:val="32"/>
        </w:rPr>
        <w:t>各处室202</w:t>
      </w:r>
      <w:r>
        <w:rPr>
          <w:rFonts w:hint="eastAsia" w:ascii="仿宋_GB2312" w:hAnsi="宋体" w:eastAsia="仿宋_GB2312" w:cs="宋体"/>
          <w:color w:val="000000" w:themeColor="text1"/>
          <w:kern w:val="0"/>
          <w:sz w:val="32"/>
          <w:szCs w:val="32"/>
        </w:rPr>
        <w:t>4</w:t>
      </w:r>
      <w:r>
        <w:rPr>
          <w:rFonts w:ascii="仿宋_GB2312" w:hAnsi="宋体" w:eastAsia="仿宋_GB2312" w:cs="宋体"/>
          <w:color w:val="000000" w:themeColor="text1"/>
          <w:kern w:val="0"/>
          <w:sz w:val="32"/>
          <w:szCs w:val="32"/>
        </w:rPr>
        <w:t>年度工作计划</w:t>
      </w:r>
      <w:r>
        <w:rPr>
          <w:rFonts w:hint="eastAsia" w:ascii="仿宋_GB2312" w:hAnsi="宋体" w:eastAsia="仿宋_GB2312" w:cs="宋体"/>
          <w:color w:val="000000" w:themeColor="text1"/>
          <w:kern w:val="0"/>
          <w:sz w:val="32"/>
          <w:szCs w:val="32"/>
        </w:rPr>
        <w:t>；</w:t>
      </w:r>
    </w:p>
    <w:p w14:paraId="225F3515">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1</w:t>
      </w: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各预算项目申报文本及绩效目标</w:t>
      </w:r>
      <w:r>
        <w:rPr>
          <w:rFonts w:hint="eastAsia" w:ascii="仿宋_GB2312" w:hAnsi="宋体" w:eastAsia="仿宋_GB2312" w:cs="宋体"/>
          <w:color w:val="000000" w:themeColor="text1"/>
          <w:kern w:val="0"/>
          <w:sz w:val="32"/>
          <w:szCs w:val="32"/>
        </w:rPr>
        <w:t>；</w:t>
      </w:r>
    </w:p>
    <w:p w14:paraId="1919745C">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1</w:t>
      </w:r>
      <w:r>
        <w:rPr>
          <w:rFonts w:hint="eastAsia" w:ascii="仿宋_GB2312" w:hAnsi="宋体" w:eastAsia="仿宋_GB2312" w:cs="宋体"/>
          <w:color w:val="000000" w:themeColor="text1"/>
          <w:kern w:val="0"/>
          <w:sz w:val="32"/>
          <w:szCs w:val="32"/>
        </w:rPr>
        <w:t>3）其他相关资料；</w:t>
      </w:r>
    </w:p>
    <w:p w14:paraId="097B1C64">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部门整体</w:t>
      </w:r>
      <w:r>
        <w:rPr>
          <w:rFonts w:hint="eastAsia" w:ascii="仿宋_GB2312" w:eastAsia="仿宋_GB2312"/>
          <w:bCs/>
          <w:color w:val="000000" w:themeColor="text1"/>
          <w:sz w:val="32"/>
          <w:szCs w:val="32"/>
        </w:rPr>
        <w:t>年度绩效目标及分项绩效指标</w:t>
      </w:r>
    </w:p>
    <w:p w14:paraId="3FEC3970">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市机关事务管理中心结合部门职能职责、年度工作计划及相关预算绩效管理文件要求，设置了部门整体年度绩效目标。围绕部门整体年度绩效目标、年度重点工作，从后勤服务、后勤管理、日常运转等方面分解制定了部门具体绩效指标（见表3）。</w:t>
      </w:r>
    </w:p>
    <w:p w14:paraId="2ADA002E">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部门整体年度绩效目标：结合市机关事务管理中心部门职能职责及实际工作需要，认真履行好核心区集中办公区的行政管理和服务保障工作，包含“维修改造、设备更新、房屋管理、安保管理、财务及资产管理”等后勤服务保障工作，“文件办理、会议组织与保障、人事管理”等行政服务工作，“环境及治安整治、精神文明建设、交通安全、防疫防控、信访安全”等社会事务管理工作。通过年度各项重点工作的开展，创造良好办公环境、推动机关事务管理效率和服务水平的提升。</w:t>
      </w:r>
    </w:p>
    <w:p w14:paraId="1AD399E8">
      <w:pPr>
        <w:adjustRightInd w:val="0"/>
        <w:snapToGrid w:val="0"/>
        <w:spacing w:line="360" w:lineRule="auto"/>
        <w:jc w:val="center"/>
        <w:rPr>
          <w:rFonts w:ascii="黑体" w:hAnsi="黑体" w:eastAsia="黑体"/>
          <w:color w:val="000000" w:themeColor="text1"/>
          <w:sz w:val="28"/>
          <w:szCs w:val="28"/>
        </w:rPr>
      </w:pPr>
    </w:p>
    <w:p w14:paraId="5CBC2E20">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w:t>
      </w:r>
      <w:r>
        <w:rPr>
          <w:rFonts w:ascii="黑体" w:hAnsi="黑体" w:eastAsia="黑体"/>
          <w:color w:val="000000" w:themeColor="text1"/>
          <w:sz w:val="28"/>
          <w:szCs w:val="28"/>
        </w:rPr>
        <w:t>3</w:t>
      </w:r>
      <w:r>
        <w:rPr>
          <w:rFonts w:hint="eastAsia" w:ascii="黑体" w:hAnsi="黑体" w:eastAsia="黑体"/>
          <w:color w:val="000000" w:themeColor="text1"/>
          <w:sz w:val="28"/>
          <w:szCs w:val="28"/>
        </w:rPr>
        <w:t>：市机关事务管理中心2</w:t>
      </w:r>
      <w:r>
        <w:rPr>
          <w:rFonts w:ascii="黑体" w:hAnsi="黑体" w:eastAsia="黑体"/>
          <w:color w:val="000000" w:themeColor="text1"/>
          <w:sz w:val="28"/>
          <w:szCs w:val="28"/>
        </w:rPr>
        <w:t>02</w:t>
      </w:r>
      <w:r>
        <w:rPr>
          <w:rFonts w:hint="eastAsia" w:ascii="黑体" w:hAnsi="黑体" w:eastAsia="黑体"/>
          <w:color w:val="000000" w:themeColor="text1"/>
          <w:sz w:val="28"/>
          <w:szCs w:val="28"/>
        </w:rPr>
        <w:t>4</w:t>
      </w:r>
      <w:r>
        <w:rPr>
          <w:rFonts w:ascii="黑体" w:hAnsi="黑体" w:eastAsia="黑体"/>
          <w:color w:val="000000" w:themeColor="text1"/>
          <w:sz w:val="28"/>
          <w:szCs w:val="28"/>
        </w:rPr>
        <w:t>年度</w:t>
      </w:r>
      <w:r>
        <w:rPr>
          <w:rFonts w:hint="eastAsia" w:ascii="黑体" w:hAnsi="黑体" w:eastAsia="黑体"/>
          <w:color w:val="000000" w:themeColor="text1"/>
          <w:sz w:val="28"/>
          <w:szCs w:val="28"/>
        </w:rPr>
        <w:t>部门分项绩效指标</w:t>
      </w:r>
    </w:p>
    <w:tbl>
      <w:tblPr>
        <w:tblStyle w:val="14"/>
        <w:tblW w:w="5000" w:type="pct"/>
        <w:tblInd w:w="0" w:type="dxa"/>
        <w:tblLayout w:type="autofit"/>
        <w:tblCellMar>
          <w:top w:w="0" w:type="dxa"/>
          <w:left w:w="28" w:type="dxa"/>
          <w:bottom w:w="0" w:type="dxa"/>
          <w:right w:w="28" w:type="dxa"/>
        </w:tblCellMar>
      </w:tblPr>
      <w:tblGrid>
        <w:gridCol w:w="707"/>
        <w:gridCol w:w="880"/>
        <w:gridCol w:w="6775"/>
      </w:tblGrid>
      <w:tr w14:paraId="1F6BC44E">
        <w:tblPrEx>
          <w:tblCellMar>
            <w:top w:w="0" w:type="dxa"/>
            <w:left w:w="28" w:type="dxa"/>
            <w:bottom w:w="0" w:type="dxa"/>
            <w:right w:w="28" w:type="dxa"/>
          </w:tblCellMar>
        </w:tblPrEx>
        <w:trPr>
          <w:trHeight w:val="534" w:hRule="atLeast"/>
          <w:tblHeader/>
        </w:trPr>
        <w:tc>
          <w:tcPr>
            <w:tcW w:w="423" w:type="pct"/>
            <w:tcBorders>
              <w:top w:val="single" w:color="000000" w:sz="4" w:space="0"/>
              <w:left w:val="single" w:color="000000" w:sz="4" w:space="0"/>
              <w:bottom w:val="single" w:color="000000" w:sz="4" w:space="0"/>
              <w:right w:val="single" w:color="000000" w:sz="4" w:space="0"/>
            </w:tcBorders>
            <w:vAlign w:val="center"/>
          </w:tcPr>
          <w:p w14:paraId="1846E101">
            <w:pPr>
              <w:widowControl/>
              <w:jc w:val="center"/>
              <w:rPr>
                <w:rFonts w:ascii="宋体" w:hAnsi="宋体" w:cs="Arial"/>
                <w:b/>
                <w:bCs/>
                <w:color w:val="000000" w:themeColor="text1"/>
                <w:kern w:val="0"/>
                <w:sz w:val="20"/>
                <w:szCs w:val="20"/>
              </w:rPr>
            </w:pPr>
            <w:r>
              <w:rPr>
                <w:rFonts w:hint="eastAsia" w:ascii="宋体" w:hAnsi="宋体" w:cs="Arial"/>
                <w:b/>
                <w:bCs/>
                <w:color w:val="000000" w:themeColor="text1"/>
                <w:kern w:val="0"/>
                <w:sz w:val="20"/>
                <w:szCs w:val="20"/>
              </w:rPr>
              <w:t>序号</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CA923">
            <w:pPr>
              <w:widowControl/>
              <w:jc w:val="center"/>
              <w:rPr>
                <w:rFonts w:ascii="宋体" w:hAnsi="宋体" w:cs="Arial"/>
                <w:b/>
                <w:bCs/>
                <w:color w:val="000000" w:themeColor="text1"/>
                <w:kern w:val="0"/>
                <w:sz w:val="20"/>
                <w:szCs w:val="20"/>
              </w:rPr>
            </w:pPr>
            <w:r>
              <w:rPr>
                <w:rFonts w:hint="eastAsia" w:ascii="宋体" w:hAnsi="宋体" w:cs="Arial"/>
                <w:b/>
                <w:bCs/>
                <w:color w:val="000000" w:themeColor="text1"/>
                <w:kern w:val="0"/>
                <w:sz w:val="20"/>
                <w:szCs w:val="20"/>
              </w:rPr>
              <w:t>分项绩效指标</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81BB4">
            <w:pPr>
              <w:widowControl/>
              <w:jc w:val="center"/>
              <w:rPr>
                <w:rFonts w:ascii="宋体" w:hAnsi="宋体" w:cs="Arial"/>
                <w:b/>
                <w:bCs/>
                <w:color w:val="000000" w:themeColor="text1"/>
                <w:kern w:val="0"/>
                <w:sz w:val="20"/>
                <w:szCs w:val="20"/>
              </w:rPr>
            </w:pPr>
            <w:r>
              <w:rPr>
                <w:rFonts w:hint="eastAsia" w:ascii="宋体" w:hAnsi="宋体" w:cs="Arial"/>
                <w:b/>
                <w:bCs/>
                <w:color w:val="000000" w:themeColor="text1"/>
                <w:kern w:val="0"/>
                <w:sz w:val="20"/>
                <w:szCs w:val="20"/>
              </w:rPr>
              <w:t>分项指标具体内容</w:t>
            </w:r>
          </w:p>
        </w:tc>
      </w:tr>
      <w:tr w14:paraId="3C407306">
        <w:tblPrEx>
          <w:tblCellMar>
            <w:top w:w="0" w:type="dxa"/>
            <w:left w:w="28" w:type="dxa"/>
            <w:bottom w:w="0" w:type="dxa"/>
            <w:right w:w="28" w:type="dxa"/>
          </w:tblCellMar>
        </w:tblPrEx>
        <w:trPr>
          <w:trHeight w:val="1278" w:hRule="atLeast"/>
        </w:trPr>
        <w:tc>
          <w:tcPr>
            <w:tcW w:w="423" w:type="pct"/>
            <w:tcBorders>
              <w:top w:val="single" w:color="000000" w:sz="4" w:space="0"/>
              <w:left w:val="single" w:color="000000" w:sz="4" w:space="0"/>
              <w:bottom w:val="single" w:color="000000" w:sz="4" w:space="0"/>
              <w:right w:val="single" w:color="000000" w:sz="4" w:space="0"/>
            </w:tcBorders>
            <w:vAlign w:val="center"/>
          </w:tcPr>
          <w:p w14:paraId="30E96708">
            <w:pPr>
              <w:widowControl/>
              <w:jc w:val="center"/>
              <w:rPr>
                <w:rFonts w:ascii="宋体" w:hAnsi="宋体" w:cs="Arial"/>
                <w:color w:val="000000" w:themeColor="text1"/>
                <w:kern w:val="0"/>
                <w:sz w:val="20"/>
                <w:szCs w:val="20"/>
              </w:rPr>
            </w:pPr>
            <w:r>
              <w:rPr>
                <w:rFonts w:hint="eastAsia" w:ascii="宋体" w:hAnsi="宋体" w:cs="Arial"/>
                <w:color w:val="000000" w:themeColor="text1"/>
                <w:kern w:val="0"/>
                <w:sz w:val="20"/>
                <w:szCs w:val="20"/>
              </w:rPr>
              <w:t>1</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7C198">
            <w:pPr>
              <w:widowControl/>
              <w:jc w:val="center"/>
              <w:rPr>
                <w:rFonts w:ascii="宋体" w:hAnsi="宋体" w:cs="Arial"/>
                <w:color w:val="000000" w:themeColor="text1"/>
                <w:kern w:val="0"/>
                <w:sz w:val="20"/>
                <w:szCs w:val="20"/>
              </w:rPr>
            </w:pPr>
            <w:r>
              <w:rPr>
                <w:rFonts w:hint="eastAsia" w:ascii="宋体" w:hAnsi="宋体" w:cs="Arial"/>
                <w:color w:val="000000" w:themeColor="text1"/>
                <w:kern w:val="0"/>
                <w:sz w:val="20"/>
                <w:szCs w:val="20"/>
              </w:rPr>
              <w:t>后勤服务</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47FDF">
            <w:pPr>
              <w:widowControl/>
              <w:jc w:val="left"/>
              <w:rPr>
                <w:rFonts w:ascii="宋体" w:hAnsi="宋体" w:cs="Arial"/>
                <w:color w:val="000000" w:themeColor="text1"/>
                <w:kern w:val="0"/>
                <w:sz w:val="20"/>
                <w:szCs w:val="20"/>
              </w:rPr>
            </w:pPr>
            <w:r>
              <w:rPr>
                <w:rFonts w:hint="eastAsia" w:ascii="宋体" w:hAnsi="宋体" w:cs="宋体"/>
                <w:color w:val="000000" w:themeColor="text1"/>
                <w:kern w:val="0"/>
                <w:sz w:val="20"/>
                <w:szCs w:val="20"/>
              </w:rPr>
              <w:t>及时开展后勤服务工作，并及时支出相应费用≤12月；购置、更新及维修等工作均符合相应的工程质量标准，能够满足办公区内工作需求；做好维修、更新设备设施工作，满足日常办公对办公用品及设施的需求，支撑日常工作的开展。</w:t>
            </w:r>
          </w:p>
        </w:tc>
      </w:tr>
      <w:tr w14:paraId="5B315AF9">
        <w:tblPrEx>
          <w:tblCellMar>
            <w:top w:w="0" w:type="dxa"/>
            <w:left w:w="28" w:type="dxa"/>
            <w:bottom w:w="0" w:type="dxa"/>
            <w:right w:w="28" w:type="dxa"/>
          </w:tblCellMar>
        </w:tblPrEx>
        <w:trPr>
          <w:trHeight w:val="1600" w:hRule="atLeast"/>
        </w:trPr>
        <w:tc>
          <w:tcPr>
            <w:tcW w:w="423" w:type="pct"/>
            <w:tcBorders>
              <w:top w:val="single" w:color="000000" w:sz="4" w:space="0"/>
              <w:left w:val="single" w:color="000000" w:sz="4" w:space="0"/>
              <w:bottom w:val="single" w:color="000000" w:sz="4" w:space="0"/>
              <w:right w:val="single" w:color="000000" w:sz="4" w:space="0"/>
            </w:tcBorders>
            <w:vAlign w:val="center"/>
          </w:tcPr>
          <w:p w14:paraId="6C79F8D5">
            <w:pPr>
              <w:widowControl/>
              <w:jc w:val="center"/>
              <w:rPr>
                <w:rFonts w:ascii="宋体" w:hAnsi="宋体" w:cs="Arial"/>
                <w:color w:val="000000" w:themeColor="text1"/>
                <w:kern w:val="0"/>
                <w:sz w:val="20"/>
                <w:szCs w:val="20"/>
              </w:rPr>
            </w:pPr>
            <w:r>
              <w:rPr>
                <w:rFonts w:hint="eastAsia" w:ascii="宋体" w:hAnsi="宋体" w:cs="Arial"/>
                <w:color w:val="000000" w:themeColor="text1"/>
                <w:kern w:val="0"/>
                <w:sz w:val="20"/>
                <w:szCs w:val="20"/>
              </w:rPr>
              <w:t>2</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7E86B">
            <w:pPr>
              <w:widowControl/>
              <w:jc w:val="center"/>
              <w:rPr>
                <w:rFonts w:ascii="宋体" w:hAnsi="宋体" w:cs="Arial"/>
                <w:color w:val="000000" w:themeColor="text1"/>
                <w:kern w:val="0"/>
                <w:sz w:val="20"/>
                <w:szCs w:val="20"/>
              </w:rPr>
            </w:pPr>
            <w:r>
              <w:rPr>
                <w:rFonts w:hint="eastAsia" w:ascii="宋体" w:hAnsi="宋体" w:cs="Arial"/>
                <w:color w:val="000000" w:themeColor="text1"/>
                <w:kern w:val="0"/>
                <w:sz w:val="20"/>
                <w:szCs w:val="20"/>
              </w:rPr>
              <w:t>后勤管理</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6F688">
            <w:pPr>
              <w:widowControl/>
              <w:jc w:val="left"/>
              <w:rPr>
                <w:rFonts w:ascii="宋体" w:hAnsi="宋体" w:cs="Arial"/>
                <w:color w:val="000000" w:themeColor="text1"/>
                <w:kern w:val="0"/>
                <w:sz w:val="20"/>
                <w:szCs w:val="20"/>
              </w:rPr>
            </w:pPr>
            <w:r>
              <w:rPr>
                <w:rFonts w:hint="eastAsia" w:ascii="宋体" w:hAnsi="宋体" w:cs="Arial"/>
                <w:color w:val="000000" w:themeColor="text1"/>
                <w:kern w:val="0"/>
                <w:sz w:val="20"/>
                <w:szCs w:val="20"/>
              </w:rPr>
              <w:t>三个系统（综合服务平台系统、管理中心资产管理系统、离退休人员管理信息系统）提供漏洞扫描、对资产管理进行信息化资产梳理的次数=1次；有效完成全年供餐、物业管理、互联网接入等后勤管理工作≥3项；故障响应时间≤60分钟；数据丢失后恢复数据时间≤24小时；及时完成后勤保障工作=12月；保障办公区物业环境，消除安全隐患，提供办公区的物业保障。</w:t>
            </w:r>
          </w:p>
        </w:tc>
      </w:tr>
      <w:tr w14:paraId="649D05F3">
        <w:tblPrEx>
          <w:tblCellMar>
            <w:top w:w="0" w:type="dxa"/>
            <w:left w:w="28" w:type="dxa"/>
            <w:bottom w:w="0" w:type="dxa"/>
            <w:right w:w="28" w:type="dxa"/>
          </w:tblCellMar>
        </w:tblPrEx>
        <w:trPr>
          <w:trHeight w:val="936" w:hRule="atLeast"/>
        </w:trPr>
        <w:tc>
          <w:tcPr>
            <w:tcW w:w="423" w:type="pct"/>
            <w:tcBorders>
              <w:top w:val="single" w:color="000000" w:sz="4" w:space="0"/>
              <w:left w:val="single" w:color="000000" w:sz="4" w:space="0"/>
              <w:bottom w:val="single" w:color="000000" w:sz="4" w:space="0"/>
              <w:right w:val="single" w:color="000000" w:sz="4" w:space="0"/>
            </w:tcBorders>
            <w:vAlign w:val="center"/>
          </w:tcPr>
          <w:p w14:paraId="28DB679C">
            <w:pPr>
              <w:widowControl/>
              <w:jc w:val="center"/>
              <w:rPr>
                <w:rFonts w:ascii="宋体" w:hAnsi="宋体" w:cs="Arial"/>
                <w:color w:val="000000" w:themeColor="text1"/>
                <w:kern w:val="0"/>
                <w:sz w:val="20"/>
                <w:szCs w:val="20"/>
              </w:rPr>
            </w:pPr>
            <w:r>
              <w:rPr>
                <w:rFonts w:hint="eastAsia" w:ascii="宋体" w:hAnsi="宋体" w:cs="Arial"/>
                <w:color w:val="000000" w:themeColor="text1"/>
                <w:kern w:val="0"/>
                <w:sz w:val="20"/>
                <w:szCs w:val="20"/>
              </w:rPr>
              <w:t>3</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9B41E">
            <w:pPr>
              <w:widowControl/>
              <w:jc w:val="center"/>
              <w:rPr>
                <w:rFonts w:ascii="宋体" w:hAnsi="宋体" w:cs="Arial"/>
                <w:color w:val="000000" w:themeColor="text1"/>
                <w:kern w:val="0"/>
                <w:sz w:val="20"/>
                <w:szCs w:val="20"/>
              </w:rPr>
            </w:pPr>
            <w:r>
              <w:rPr>
                <w:rFonts w:hint="eastAsia" w:ascii="宋体" w:hAnsi="宋体" w:cs="Arial"/>
                <w:color w:val="000000" w:themeColor="text1"/>
                <w:kern w:val="0"/>
                <w:sz w:val="20"/>
                <w:szCs w:val="20"/>
              </w:rPr>
              <w:t>日常运转</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3425E">
            <w:pPr>
              <w:widowControl/>
              <w:jc w:val="left"/>
              <w:rPr>
                <w:rFonts w:ascii="宋体" w:hAnsi="宋体" w:cs="Arial"/>
                <w:color w:val="000000" w:themeColor="text1"/>
                <w:kern w:val="0"/>
                <w:sz w:val="20"/>
                <w:szCs w:val="20"/>
              </w:rPr>
            </w:pPr>
            <w:r>
              <w:rPr>
                <w:rFonts w:hint="eastAsia" w:ascii="宋体" w:hAnsi="宋体" w:cs="Arial"/>
                <w:color w:val="000000" w:themeColor="text1"/>
                <w:kern w:val="0"/>
                <w:sz w:val="20"/>
                <w:szCs w:val="20"/>
              </w:rPr>
              <w:t>宣传工作文字可读性强，图文清晰；保障全年正常供餐，确保食品安全及服务质量，卫生保障、突发事件应对、人员管理与培训等符合相关要求；办公区内工作人员对日常运转工作满意度≥90%。</w:t>
            </w:r>
          </w:p>
        </w:tc>
      </w:tr>
    </w:tbl>
    <w:p w14:paraId="173B1CAE">
      <w:pPr>
        <w:rPr>
          <w:color w:val="000000" w:themeColor="text1"/>
          <w:sz w:val="20"/>
          <w:szCs w:val="22"/>
        </w:rPr>
      </w:pPr>
    </w:p>
    <w:p w14:paraId="465E3502">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3.</w:t>
      </w:r>
      <w:r>
        <w:rPr>
          <w:rFonts w:hint="eastAsia" w:ascii="仿宋_GB2312" w:hAnsi="宋体" w:eastAsia="仿宋_GB2312" w:cs="宋体"/>
          <w:color w:val="000000" w:themeColor="text1"/>
          <w:kern w:val="0"/>
          <w:sz w:val="32"/>
          <w:szCs w:val="32"/>
        </w:rPr>
        <w:t>绩效目标与职责任务匹配情况及绩效目标合理性</w:t>
      </w:r>
    </w:p>
    <w:p w14:paraId="3A50D484">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一是绩效目标围绕后勤服务保障、行政服务、社会事务管理3方面进行设置，与市机关事务管理中心的职能相符，且覆盖较为全面、能够涵盖部门重点工作内容。</w:t>
      </w:r>
    </w:p>
    <w:p w14:paraId="1AC5759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二是将绩效目标细化分解为了数量、质量、时效等产出指标，结合年度拟达成的效益，设置了社会效益指标、可持续影响指标、满意度指标，绩效指标分解情况较好、设置较为合理。</w:t>
      </w:r>
    </w:p>
    <w:p w14:paraId="056CBD4A">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三是绩效指标值设置具有一定可考核性，除产出质量指标、效益指标定性设置外，其他指标均定量设置，便于后期考核、衡量，绩效指标值设置合理。</w:t>
      </w:r>
    </w:p>
    <w:p w14:paraId="2920191D">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整体上，</w:t>
      </w:r>
      <w:r>
        <w:rPr>
          <w:rFonts w:hint="eastAsia" w:ascii="仿宋_GB2312" w:eastAsia="仿宋_GB2312"/>
          <w:color w:val="000000" w:themeColor="text1"/>
          <w:sz w:val="32"/>
          <w:szCs w:val="32"/>
        </w:rPr>
        <w:t>2</w:t>
      </w:r>
      <w:r>
        <w:rPr>
          <w:rFonts w:ascii="仿宋_GB2312" w:eastAsia="仿宋_GB2312"/>
          <w:color w:val="000000" w:themeColor="text1"/>
          <w:sz w:val="32"/>
          <w:szCs w:val="32"/>
        </w:rPr>
        <w:t>02</w:t>
      </w:r>
      <w:r>
        <w:rPr>
          <w:rFonts w:hint="eastAsia" w:ascii="仿宋_GB2312" w:eastAsia="仿宋_GB2312"/>
          <w:color w:val="000000" w:themeColor="text1"/>
          <w:sz w:val="32"/>
          <w:szCs w:val="32"/>
        </w:rPr>
        <w:t>4年度部门整体绩效目标与</w:t>
      </w:r>
      <w:r>
        <w:rPr>
          <w:rFonts w:hint="eastAsia" w:ascii="仿宋_GB2312" w:hAnsi="仿宋" w:eastAsia="仿宋_GB2312"/>
          <w:color w:val="000000" w:themeColor="text1"/>
          <w:sz w:val="32"/>
          <w:szCs w:val="32"/>
        </w:rPr>
        <w:t>各</w:t>
      </w:r>
      <w:r>
        <w:rPr>
          <w:rFonts w:hint="eastAsia" w:ascii="仿宋_GB2312" w:eastAsia="仿宋_GB2312"/>
          <w:color w:val="000000" w:themeColor="text1"/>
          <w:sz w:val="32"/>
          <w:szCs w:val="32"/>
        </w:rPr>
        <w:t>内设机构、各二级预算单位的职责任务相匹配，绩效目标及指标设置合理。</w:t>
      </w:r>
    </w:p>
    <w:p w14:paraId="52685BE4">
      <w:pPr>
        <w:adjustRightInd w:val="0"/>
        <w:snapToGrid w:val="0"/>
        <w:spacing w:line="360" w:lineRule="auto"/>
        <w:ind w:firstLine="640" w:firstLineChars="200"/>
        <w:outlineLvl w:val="0"/>
        <w:rPr>
          <w:rFonts w:ascii="黑体" w:hAnsi="黑体" w:eastAsia="黑体" w:cs="宋体"/>
          <w:color w:val="000000" w:themeColor="text1"/>
          <w:kern w:val="0"/>
          <w:sz w:val="32"/>
          <w:szCs w:val="32"/>
        </w:rPr>
      </w:pPr>
      <w:bookmarkStart w:id="3" w:name="_Toc14705"/>
      <w:r>
        <w:rPr>
          <w:rFonts w:hint="eastAsia" w:ascii="黑体" w:hAnsi="黑体" w:eastAsia="黑体" w:cs="宋体"/>
          <w:color w:val="000000" w:themeColor="text1"/>
          <w:kern w:val="0"/>
          <w:sz w:val="32"/>
          <w:szCs w:val="32"/>
        </w:rPr>
        <w:t>二</w:t>
      </w:r>
      <w:r>
        <w:rPr>
          <w:rFonts w:ascii="黑体" w:hAnsi="黑体" w:eastAsia="黑体" w:cs="宋体"/>
          <w:color w:val="000000" w:themeColor="text1"/>
          <w:kern w:val="0"/>
          <w:sz w:val="32"/>
          <w:szCs w:val="32"/>
        </w:rPr>
        <w:t>、</w:t>
      </w:r>
      <w:r>
        <w:rPr>
          <w:rFonts w:hint="eastAsia" w:ascii="黑体" w:hAnsi="黑体" w:eastAsia="黑体" w:cs="宋体"/>
          <w:color w:val="000000" w:themeColor="text1"/>
          <w:kern w:val="0"/>
          <w:sz w:val="32"/>
          <w:szCs w:val="32"/>
        </w:rPr>
        <w:t>当年</w:t>
      </w:r>
      <w:r>
        <w:rPr>
          <w:rFonts w:ascii="黑体" w:hAnsi="黑体" w:eastAsia="黑体" w:cs="宋体"/>
          <w:color w:val="000000" w:themeColor="text1"/>
          <w:kern w:val="0"/>
          <w:sz w:val="32"/>
          <w:szCs w:val="32"/>
        </w:rPr>
        <w:t>预算执行情况</w:t>
      </w:r>
      <w:bookmarkEnd w:id="3"/>
    </w:p>
    <w:p w14:paraId="11A2462F">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w:t>
      </w:r>
      <w:r>
        <w:rPr>
          <w:rFonts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rPr>
        <w:t>4年度，市机关事务管理中心年初预算数为32470.199634万元，其中</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基本经费年初</w:t>
      </w:r>
      <w:r>
        <w:rPr>
          <w:rFonts w:ascii="仿宋_GB2312" w:hAnsi="宋体" w:eastAsia="仿宋_GB2312" w:cs="宋体"/>
          <w:color w:val="000000" w:themeColor="text1"/>
          <w:kern w:val="0"/>
          <w:sz w:val="32"/>
          <w:szCs w:val="32"/>
        </w:rPr>
        <w:t>预算数</w:t>
      </w:r>
      <w:r>
        <w:rPr>
          <w:rFonts w:hint="eastAsia" w:ascii="仿宋_GB2312" w:hAnsi="宋体" w:eastAsia="仿宋_GB2312" w:cs="宋体"/>
          <w:color w:val="000000" w:themeColor="text1"/>
          <w:kern w:val="0"/>
          <w:sz w:val="32"/>
          <w:szCs w:val="32"/>
        </w:rPr>
        <w:t>24121.517109万元，项目经费年初</w:t>
      </w:r>
      <w:r>
        <w:rPr>
          <w:rFonts w:ascii="仿宋_GB2312" w:hAnsi="宋体" w:eastAsia="仿宋_GB2312" w:cs="宋体"/>
          <w:color w:val="000000" w:themeColor="text1"/>
          <w:kern w:val="0"/>
          <w:sz w:val="32"/>
          <w:szCs w:val="32"/>
        </w:rPr>
        <w:t>预算</w:t>
      </w:r>
      <w:r>
        <w:rPr>
          <w:rFonts w:hint="eastAsia" w:ascii="仿宋_GB2312" w:hAnsi="宋体" w:eastAsia="仿宋_GB2312" w:cs="宋体"/>
          <w:color w:val="000000" w:themeColor="text1"/>
          <w:kern w:val="0"/>
          <w:sz w:val="32"/>
          <w:szCs w:val="32"/>
        </w:rPr>
        <w:t>数8348.682525万元。</w:t>
      </w:r>
    </w:p>
    <w:p w14:paraId="380A1E40">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经过年中调整，20</w:t>
      </w:r>
      <w:r>
        <w:rPr>
          <w:rFonts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rPr>
        <w:t>4年度市机关事务管理中心全年预算数31003.087622万元，其中</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基本经费全年</w:t>
      </w:r>
      <w:r>
        <w:rPr>
          <w:rFonts w:ascii="仿宋_GB2312" w:hAnsi="宋体" w:eastAsia="仿宋_GB2312" w:cs="宋体"/>
          <w:color w:val="000000" w:themeColor="text1"/>
          <w:kern w:val="0"/>
          <w:sz w:val="32"/>
          <w:szCs w:val="32"/>
        </w:rPr>
        <w:t>预算数</w:t>
      </w:r>
      <w:r>
        <w:rPr>
          <w:rFonts w:hint="eastAsia" w:ascii="仿宋_GB2312" w:hAnsi="宋体" w:eastAsia="仿宋_GB2312" w:cs="宋体"/>
          <w:color w:val="000000" w:themeColor="text1"/>
          <w:kern w:val="0"/>
          <w:sz w:val="32"/>
          <w:szCs w:val="32"/>
        </w:rPr>
        <w:t>22656.87468万元，项目经费全年</w:t>
      </w:r>
      <w:r>
        <w:rPr>
          <w:rFonts w:ascii="仿宋_GB2312" w:hAnsi="宋体" w:eastAsia="仿宋_GB2312" w:cs="宋体"/>
          <w:color w:val="000000" w:themeColor="text1"/>
          <w:kern w:val="0"/>
          <w:sz w:val="32"/>
          <w:szCs w:val="32"/>
        </w:rPr>
        <w:t>预算数</w:t>
      </w:r>
      <w:r>
        <w:rPr>
          <w:rFonts w:hint="eastAsia" w:ascii="仿宋_GB2312" w:hAnsi="宋体" w:eastAsia="仿宋_GB2312" w:cs="宋体"/>
          <w:color w:val="000000" w:themeColor="text1"/>
          <w:kern w:val="0"/>
          <w:sz w:val="32"/>
          <w:szCs w:val="32"/>
        </w:rPr>
        <w:t>8346.212942万元。</w:t>
      </w:r>
    </w:p>
    <w:p w14:paraId="4A7A2E66">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截至2</w:t>
      </w:r>
      <w:r>
        <w:rPr>
          <w:rFonts w:ascii="仿宋_GB2312" w:hAnsi="宋体" w:eastAsia="仿宋_GB2312" w:cs="宋体"/>
          <w:color w:val="000000" w:themeColor="text1"/>
          <w:kern w:val="0"/>
          <w:sz w:val="32"/>
          <w:szCs w:val="32"/>
        </w:rPr>
        <w:t>02</w:t>
      </w:r>
      <w:r>
        <w:rPr>
          <w:rFonts w:hint="eastAsia" w:ascii="仿宋_GB2312" w:hAnsi="宋体" w:eastAsia="仿宋_GB2312" w:cs="宋体"/>
          <w:color w:val="000000" w:themeColor="text1"/>
          <w:kern w:val="0"/>
          <w:sz w:val="32"/>
          <w:szCs w:val="32"/>
        </w:rPr>
        <w:t>4年1</w:t>
      </w:r>
      <w:r>
        <w:rPr>
          <w:rFonts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rPr>
        <w:t>月3</w:t>
      </w:r>
      <w:r>
        <w:rPr>
          <w:rFonts w:ascii="仿宋_GB2312" w:hAnsi="宋体" w:eastAsia="仿宋_GB2312" w:cs="宋体"/>
          <w:color w:val="000000" w:themeColor="text1"/>
          <w:kern w:val="0"/>
          <w:sz w:val="32"/>
          <w:szCs w:val="32"/>
        </w:rPr>
        <w:t>1</w:t>
      </w:r>
      <w:r>
        <w:rPr>
          <w:rFonts w:hint="eastAsia" w:ascii="仿宋_GB2312" w:hAnsi="宋体" w:eastAsia="仿宋_GB2312" w:cs="宋体"/>
          <w:color w:val="000000" w:themeColor="text1"/>
          <w:kern w:val="0"/>
          <w:sz w:val="32"/>
          <w:szCs w:val="32"/>
        </w:rPr>
        <w:t>日，部门实际执行29599.002897万元，部门整体预算执行率95.47</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。其中，基本经费实际执行22383.429913万元，基本经费预算执行率98.79</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；项目经费实际执行7215.572984万元，项目经费预算执行率86.45</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（见表4）。</w:t>
      </w:r>
    </w:p>
    <w:p w14:paraId="6039D840">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w:t>
      </w:r>
      <w:r>
        <w:rPr>
          <w:rFonts w:ascii="黑体" w:hAnsi="黑体" w:eastAsia="黑体"/>
          <w:color w:val="000000" w:themeColor="text1"/>
          <w:sz w:val="28"/>
          <w:szCs w:val="28"/>
        </w:rPr>
        <w:t>4</w:t>
      </w:r>
      <w:r>
        <w:rPr>
          <w:rFonts w:hint="eastAsia" w:ascii="黑体" w:hAnsi="黑体" w:eastAsia="黑体"/>
          <w:color w:val="000000" w:themeColor="text1"/>
          <w:sz w:val="28"/>
          <w:szCs w:val="28"/>
        </w:rPr>
        <w:t>：</w:t>
      </w:r>
      <w:r>
        <w:rPr>
          <w:rFonts w:ascii="黑体" w:hAnsi="黑体" w:eastAsia="黑体"/>
          <w:color w:val="000000" w:themeColor="text1"/>
          <w:sz w:val="28"/>
          <w:szCs w:val="28"/>
        </w:rPr>
        <w:t>202</w:t>
      </w:r>
      <w:r>
        <w:rPr>
          <w:rFonts w:hint="eastAsia" w:ascii="黑体" w:hAnsi="黑体" w:eastAsia="黑体"/>
          <w:color w:val="000000" w:themeColor="text1"/>
          <w:sz w:val="28"/>
          <w:szCs w:val="28"/>
        </w:rPr>
        <w:t>4</w:t>
      </w:r>
      <w:r>
        <w:rPr>
          <w:rFonts w:ascii="黑体" w:hAnsi="黑体" w:eastAsia="黑体"/>
          <w:color w:val="000000" w:themeColor="text1"/>
          <w:sz w:val="28"/>
          <w:szCs w:val="28"/>
        </w:rPr>
        <w:t>年度</w:t>
      </w:r>
      <w:r>
        <w:rPr>
          <w:rFonts w:hint="eastAsia" w:ascii="黑体" w:hAnsi="黑体" w:eastAsia="黑体"/>
          <w:color w:val="000000" w:themeColor="text1"/>
          <w:sz w:val="28"/>
          <w:szCs w:val="28"/>
        </w:rPr>
        <w:t>部门整体</w:t>
      </w:r>
      <w:r>
        <w:rPr>
          <w:rStyle w:val="19"/>
          <w:rFonts w:hint="eastAsia" w:ascii="黑体" w:hAnsi="黑体" w:eastAsia="黑体"/>
          <w:color w:val="000000" w:themeColor="text1"/>
          <w:sz w:val="28"/>
          <w:szCs w:val="28"/>
        </w:rPr>
        <w:footnoteReference w:id="0"/>
      </w:r>
      <w:r>
        <w:rPr>
          <w:rFonts w:hint="eastAsia" w:ascii="黑体" w:hAnsi="黑体" w:eastAsia="黑体"/>
          <w:color w:val="000000" w:themeColor="text1"/>
          <w:sz w:val="28"/>
          <w:szCs w:val="28"/>
        </w:rPr>
        <w:t>预算收支情况表</w:t>
      </w:r>
    </w:p>
    <w:p w14:paraId="72E044F1">
      <w:pPr>
        <w:adjustRightInd w:val="0"/>
        <w:snapToGrid w:val="0"/>
        <w:spacing w:line="360" w:lineRule="auto"/>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单位：万元</w:t>
      </w:r>
    </w:p>
    <w:tbl>
      <w:tblPr>
        <w:tblStyle w:val="14"/>
        <w:tblW w:w="4998" w:type="pct"/>
        <w:jc w:val="center"/>
        <w:tblLayout w:type="autofit"/>
        <w:tblCellMar>
          <w:top w:w="0" w:type="dxa"/>
          <w:left w:w="28" w:type="dxa"/>
          <w:bottom w:w="0" w:type="dxa"/>
          <w:right w:w="28" w:type="dxa"/>
        </w:tblCellMar>
      </w:tblPr>
      <w:tblGrid>
        <w:gridCol w:w="1713"/>
        <w:gridCol w:w="1815"/>
        <w:gridCol w:w="1740"/>
        <w:gridCol w:w="1815"/>
        <w:gridCol w:w="1276"/>
      </w:tblGrid>
      <w:tr w14:paraId="3196F277">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C58B5">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费用类别</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8A4BC">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年初预算数</w:t>
            </w:r>
          </w:p>
        </w:tc>
        <w:tc>
          <w:tcPr>
            <w:tcW w:w="10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5D58">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全年预算数</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7CBC5">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全年执行数</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C28F7">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预算执行率</w:t>
            </w:r>
          </w:p>
        </w:tc>
      </w:tr>
      <w:tr w14:paraId="4A329741">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7F749">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基本经费</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8D589">
            <w:pPr>
              <w:widowControl/>
              <w:jc w:val="right"/>
              <w:textAlignment w:val="bottom"/>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24121.517109 </w:t>
            </w:r>
          </w:p>
        </w:tc>
        <w:tc>
          <w:tcPr>
            <w:tcW w:w="10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F5FBD">
            <w:pPr>
              <w:widowControl/>
              <w:jc w:val="right"/>
              <w:textAlignment w:val="bottom"/>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22656.87468 </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D6C1A">
            <w:pPr>
              <w:widowControl/>
              <w:jc w:val="right"/>
              <w:textAlignment w:val="bottom"/>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22383.429913 </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74504">
            <w:pPr>
              <w:widowControl/>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98.79%</w:t>
            </w:r>
          </w:p>
        </w:tc>
      </w:tr>
      <w:tr w14:paraId="6E2B6A70">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6BF64">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项目经费</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19D25">
            <w:pPr>
              <w:widowControl/>
              <w:jc w:val="right"/>
              <w:textAlignment w:val="bottom"/>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8348.682525 </w:t>
            </w:r>
          </w:p>
        </w:tc>
        <w:tc>
          <w:tcPr>
            <w:tcW w:w="10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ADF3">
            <w:pPr>
              <w:widowControl/>
              <w:jc w:val="right"/>
              <w:textAlignment w:val="bottom"/>
              <w:rPr>
                <w:rFonts w:ascii="宋体" w:hAnsi="宋体" w:cs="宋体"/>
                <w:color w:val="000000" w:themeColor="text1"/>
                <w:sz w:val="20"/>
                <w:szCs w:val="20"/>
              </w:rPr>
            </w:pPr>
            <w:r>
              <w:rPr>
                <w:rFonts w:hint="eastAsia" w:ascii="宋体" w:hAnsi="宋体" w:cs="宋体"/>
                <w:color w:val="000000" w:themeColor="text1"/>
                <w:kern w:val="0"/>
                <w:sz w:val="20"/>
                <w:szCs w:val="20"/>
              </w:rPr>
              <w:t>8346.212942</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954E">
            <w:pPr>
              <w:widowControl/>
              <w:jc w:val="right"/>
              <w:textAlignment w:val="bottom"/>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7215.572984 </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364B1">
            <w:pPr>
              <w:widowControl/>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86.45%</w:t>
            </w:r>
          </w:p>
        </w:tc>
      </w:tr>
      <w:tr w14:paraId="56226AA1">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0305">
            <w:pPr>
              <w:widowControl/>
              <w:adjustRightInd w:val="0"/>
              <w:snapToGrid w:val="0"/>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合计</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8864D">
            <w:pPr>
              <w:widowControl/>
              <w:jc w:val="right"/>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32470.199634 </w:t>
            </w:r>
          </w:p>
        </w:tc>
        <w:tc>
          <w:tcPr>
            <w:tcW w:w="10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6DC4E">
            <w:pPr>
              <w:widowControl/>
              <w:jc w:val="right"/>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31003.087622 </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39ADB">
            <w:pPr>
              <w:widowControl/>
              <w:jc w:val="right"/>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29599.002897 </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7CDE7">
            <w:pPr>
              <w:widowControl/>
              <w:jc w:val="center"/>
              <w:textAlignment w:val="bottom"/>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95.47%</w:t>
            </w:r>
          </w:p>
        </w:tc>
      </w:tr>
    </w:tbl>
    <w:p w14:paraId="27F1D17F">
      <w:pPr>
        <w:adjustRightInd w:val="0"/>
        <w:snapToGrid w:val="0"/>
        <w:ind w:firstLine="400" w:firstLineChars="200"/>
        <w:rPr>
          <w:rFonts w:ascii="仿宋_GB2312" w:hAnsi="宋体" w:eastAsia="仿宋_GB2312" w:cs="宋体"/>
          <w:color w:val="000000" w:themeColor="text1"/>
          <w:kern w:val="0"/>
          <w:sz w:val="20"/>
          <w:szCs w:val="20"/>
        </w:rPr>
      </w:pPr>
    </w:p>
    <w:p w14:paraId="6FBA3D3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从单位预算收支情况（见表5）来看，市机关事务管理中心（本级）的单位资金额度相对较大，全年预算收入26861.190646万元，占部门年度收入31003.087622万元的86.64</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。从单位预算执行情况来看，3家单位预算执行率均在95%以上，其中，单位预算执行率最高的是市机关事务局第一幼儿园，达98.36</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w:t>
      </w:r>
    </w:p>
    <w:p w14:paraId="7CF8CD7D">
      <w:pPr>
        <w:adjustRightInd w:val="0"/>
        <w:snapToGrid w:val="0"/>
        <w:spacing w:line="360" w:lineRule="auto"/>
        <w:ind w:firstLine="400" w:firstLineChars="200"/>
        <w:rPr>
          <w:rFonts w:ascii="仿宋_GB2312" w:hAnsi="宋体" w:eastAsia="仿宋_GB2312" w:cs="宋体"/>
          <w:color w:val="000000" w:themeColor="text1"/>
          <w:kern w:val="0"/>
          <w:sz w:val="20"/>
          <w:szCs w:val="20"/>
        </w:rPr>
      </w:pPr>
    </w:p>
    <w:p w14:paraId="59357342">
      <w:pPr>
        <w:adjustRightInd w:val="0"/>
        <w:snapToGrid w:val="0"/>
        <w:spacing w:line="360" w:lineRule="auto"/>
        <w:rPr>
          <w:rFonts w:ascii="仿宋_GB2312" w:hAnsi="宋体" w:eastAsia="仿宋_GB2312" w:cs="宋体"/>
          <w:color w:val="000000" w:themeColor="text1"/>
          <w:kern w:val="0"/>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14:paraId="5BDB8898">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w:t>
      </w:r>
      <w:r>
        <w:rPr>
          <w:rFonts w:ascii="黑体" w:hAnsi="黑体" w:eastAsia="黑体"/>
          <w:color w:val="000000" w:themeColor="text1"/>
          <w:sz w:val="28"/>
          <w:szCs w:val="28"/>
        </w:rPr>
        <w:t>5</w:t>
      </w:r>
      <w:r>
        <w:rPr>
          <w:rFonts w:hint="eastAsia" w:ascii="黑体" w:hAnsi="黑体" w:eastAsia="黑体"/>
          <w:color w:val="000000" w:themeColor="text1"/>
          <w:sz w:val="28"/>
          <w:szCs w:val="28"/>
        </w:rPr>
        <w:t>：</w:t>
      </w:r>
      <w:r>
        <w:rPr>
          <w:rFonts w:ascii="黑体" w:hAnsi="黑体" w:eastAsia="黑体"/>
          <w:color w:val="000000" w:themeColor="text1"/>
          <w:sz w:val="28"/>
          <w:szCs w:val="28"/>
        </w:rPr>
        <w:t>202</w:t>
      </w:r>
      <w:r>
        <w:rPr>
          <w:rFonts w:hint="eastAsia" w:ascii="黑体" w:hAnsi="黑体" w:eastAsia="黑体"/>
          <w:color w:val="000000" w:themeColor="text1"/>
          <w:sz w:val="28"/>
          <w:szCs w:val="28"/>
        </w:rPr>
        <w:t>4</w:t>
      </w:r>
      <w:r>
        <w:rPr>
          <w:rFonts w:ascii="黑体" w:hAnsi="黑体" w:eastAsia="黑体"/>
          <w:color w:val="000000" w:themeColor="text1"/>
          <w:sz w:val="28"/>
          <w:szCs w:val="28"/>
        </w:rPr>
        <w:t>年度</w:t>
      </w:r>
      <w:r>
        <w:rPr>
          <w:rFonts w:hint="eastAsia" w:ascii="黑体" w:hAnsi="黑体" w:eastAsia="黑体"/>
          <w:color w:val="000000" w:themeColor="text1"/>
          <w:sz w:val="28"/>
          <w:szCs w:val="28"/>
        </w:rPr>
        <w:t>各二级预算单位预算收支情况表</w:t>
      </w:r>
    </w:p>
    <w:p w14:paraId="5E9D7580">
      <w:pPr>
        <w:adjustRightInd w:val="0"/>
        <w:snapToGrid w:val="0"/>
        <w:spacing w:line="360" w:lineRule="auto"/>
        <w:jc w:val="right"/>
        <w:rPr>
          <w:rFonts w:ascii="宋体" w:hAnsi="宋体" w:cs="宋体"/>
          <w:color w:val="000000" w:themeColor="text1"/>
          <w:kern w:val="0"/>
          <w:sz w:val="20"/>
          <w:szCs w:val="20"/>
        </w:rPr>
      </w:pPr>
      <w:r>
        <w:rPr>
          <w:rFonts w:hint="eastAsia" w:ascii="宋体" w:hAnsi="宋体" w:cs="宋体"/>
          <w:color w:val="000000" w:themeColor="text1"/>
          <w:kern w:val="0"/>
          <w:sz w:val="20"/>
          <w:szCs w:val="20"/>
        </w:rPr>
        <w:t>单位：万元</w:t>
      </w:r>
    </w:p>
    <w:tbl>
      <w:tblPr>
        <w:tblStyle w:val="14"/>
        <w:tblW w:w="5058" w:type="pct"/>
        <w:tblInd w:w="0" w:type="dxa"/>
        <w:tblLayout w:type="autofit"/>
        <w:tblCellMar>
          <w:top w:w="0" w:type="dxa"/>
          <w:left w:w="28" w:type="dxa"/>
          <w:bottom w:w="0" w:type="dxa"/>
          <w:right w:w="28" w:type="dxa"/>
        </w:tblCellMar>
      </w:tblPr>
      <w:tblGrid>
        <w:gridCol w:w="377"/>
        <w:gridCol w:w="1347"/>
        <w:gridCol w:w="1276"/>
        <w:gridCol w:w="1282"/>
        <w:gridCol w:w="1279"/>
        <w:gridCol w:w="1282"/>
        <w:gridCol w:w="1293"/>
        <w:gridCol w:w="1279"/>
        <w:gridCol w:w="1183"/>
        <w:gridCol w:w="1288"/>
        <w:gridCol w:w="760"/>
        <w:gridCol w:w="762"/>
        <w:gridCol w:w="769"/>
      </w:tblGrid>
      <w:tr w14:paraId="320795E5">
        <w:tblPrEx>
          <w:tblCellMar>
            <w:top w:w="0" w:type="dxa"/>
            <w:left w:w="28" w:type="dxa"/>
            <w:bottom w:w="0" w:type="dxa"/>
            <w:right w:w="28" w:type="dxa"/>
          </w:tblCellMar>
        </w:tblPrEx>
        <w:trPr>
          <w:trHeight w:val="283" w:hRule="atLeast"/>
          <w:tblHeader/>
        </w:trPr>
        <w:tc>
          <w:tcPr>
            <w:tcW w:w="1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B4012">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序号</w:t>
            </w:r>
          </w:p>
        </w:tc>
        <w:tc>
          <w:tcPr>
            <w:tcW w:w="4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9C6435">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单位</w:t>
            </w:r>
          </w:p>
        </w:tc>
        <w:tc>
          <w:tcPr>
            <w:tcW w:w="22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E5668E">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收入</w:t>
            </w:r>
          </w:p>
        </w:tc>
        <w:tc>
          <w:tcPr>
            <w:tcW w:w="13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782D68">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支出</w:t>
            </w:r>
          </w:p>
        </w:tc>
        <w:tc>
          <w:tcPr>
            <w:tcW w:w="8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2253EB">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预算执行率</w:t>
            </w:r>
          </w:p>
        </w:tc>
      </w:tr>
      <w:tr w14:paraId="21544F5F">
        <w:tblPrEx>
          <w:tblCellMar>
            <w:top w:w="0" w:type="dxa"/>
            <w:left w:w="28" w:type="dxa"/>
            <w:bottom w:w="0" w:type="dxa"/>
            <w:right w:w="28" w:type="dxa"/>
          </w:tblCellMar>
        </w:tblPrEx>
        <w:trPr>
          <w:trHeight w:val="283" w:hRule="atLeast"/>
          <w:tblHeader/>
        </w:trPr>
        <w:tc>
          <w:tcPr>
            <w:tcW w:w="1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6630A">
            <w:pPr>
              <w:jc w:val="center"/>
              <w:rPr>
                <w:rFonts w:ascii="宋体" w:hAnsi="宋体" w:cs="宋体"/>
                <w:b/>
                <w:bCs/>
                <w:color w:val="000000" w:themeColor="text1"/>
                <w:sz w:val="20"/>
                <w:szCs w:val="20"/>
              </w:rPr>
            </w:pPr>
          </w:p>
        </w:tc>
        <w:tc>
          <w:tcPr>
            <w:tcW w:w="4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211AE">
            <w:pPr>
              <w:jc w:val="center"/>
              <w:rPr>
                <w:rFonts w:ascii="宋体" w:hAnsi="宋体" w:cs="宋体"/>
                <w:b/>
                <w:bCs/>
                <w:color w:val="000000" w:themeColor="text1"/>
                <w:sz w:val="20"/>
                <w:szCs w:val="20"/>
              </w:rPr>
            </w:pPr>
          </w:p>
        </w:tc>
        <w:tc>
          <w:tcPr>
            <w:tcW w:w="9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9A332">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基本经费</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C6AE6">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项目经费</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3A7B5C">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小计</w:t>
            </w:r>
          </w:p>
        </w:tc>
        <w:tc>
          <w:tcPr>
            <w:tcW w:w="4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C443F">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基本经费</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9C5E0">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项目经费</w:t>
            </w: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6ECE3">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小计</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3EE3AE">
            <w:pPr>
              <w:widowControl/>
              <w:jc w:val="center"/>
              <w:textAlignment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基本</w:t>
            </w:r>
          </w:p>
          <w:p w14:paraId="0758DB37">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经费</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4A673E">
            <w:pPr>
              <w:widowControl/>
              <w:jc w:val="center"/>
              <w:textAlignment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项目</w:t>
            </w:r>
          </w:p>
          <w:p w14:paraId="5C050A2E">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经费</w:t>
            </w: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795B9">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合计</w:t>
            </w:r>
          </w:p>
        </w:tc>
      </w:tr>
      <w:tr w14:paraId="4930BCC6">
        <w:tblPrEx>
          <w:tblCellMar>
            <w:top w:w="0" w:type="dxa"/>
            <w:left w:w="28" w:type="dxa"/>
            <w:bottom w:w="0" w:type="dxa"/>
            <w:right w:w="28" w:type="dxa"/>
          </w:tblCellMar>
        </w:tblPrEx>
        <w:trPr>
          <w:trHeight w:val="283" w:hRule="atLeast"/>
          <w:tblHeader/>
        </w:trPr>
        <w:tc>
          <w:tcPr>
            <w:tcW w:w="1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BC771">
            <w:pPr>
              <w:jc w:val="center"/>
              <w:rPr>
                <w:rFonts w:ascii="宋体" w:hAnsi="宋体" w:cs="宋体"/>
                <w:b/>
                <w:bCs/>
                <w:color w:val="000000" w:themeColor="text1"/>
                <w:sz w:val="20"/>
                <w:szCs w:val="20"/>
              </w:rPr>
            </w:pPr>
          </w:p>
        </w:tc>
        <w:tc>
          <w:tcPr>
            <w:tcW w:w="4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C9C15">
            <w:pPr>
              <w:jc w:val="center"/>
              <w:rPr>
                <w:rFonts w:ascii="宋体" w:hAnsi="宋体" w:cs="宋体"/>
                <w:b/>
                <w:bCs/>
                <w:color w:val="000000" w:themeColor="text1"/>
                <w:sz w:val="20"/>
                <w:szCs w:val="20"/>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DC876">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年初预算数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F0EF1">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全年预算数</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7AD8F">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年初预算数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B5BE5">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全年预算数</w:t>
            </w: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AB702">
            <w:pPr>
              <w:jc w:val="center"/>
              <w:rPr>
                <w:rFonts w:ascii="宋体" w:hAnsi="宋体" w:cs="宋体"/>
                <w:b/>
                <w:bCs/>
                <w:color w:val="000000" w:themeColor="text1"/>
                <w:sz w:val="20"/>
                <w:szCs w:val="20"/>
              </w:rPr>
            </w:pPr>
          </w:p>
        </w:tc>
        <w:tc>
          <w:tcPr>
            <w:tcW w:w="4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51023">
            <w:pPr>
              <w:jc w:val="center"/>
              <w:rPr>
                <w:rFonts w:ascii="宋体" w:hAnsi="宋体" w:cs="宋体"/>
                <w:b/>
                <w:bCs/>
                <w:color w:val="000000" w:themeColor="text1"/>
                <w:sz w:val="20"/>
                <w:szCs w:val="20"/>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01815">
            <w:pPr>
              <w:jc w:val="center"/>
              <w:rPr>
                <w:rFonts w:ascii="宋体" w:hAnsi="宋体" w:cs="宋体"/>
                <w:b/>
                <w:bCs/>
                <w:color w:val="000000" w:themeColor="text1"/>
                <w:sz w:val="20"/>
                <w:szCs w:val="20"/>
              </w:rPr>
            </w:pP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B17B3">
            <w:pPr>
              <w:jc w:val="center"/>
              <w:rPr>
                <w:rFonts w:ascii="宋体" w:hAnsi="宋体" w:cs="宋体"/>
                <w:b/>
                <w:bCs/>
                <w:color w:val="000000" w:themeColor="text1"/>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BF746">
            <w:pPr>
              <w:jc w:val="center"/>
              <w:rPr>
                <w:rFonts w:ascii="宋体" w:hAnsi="宋体" w:cs="宋体"/>
                <w:b/>
                <w:bCs/>
                <w:color w:val="000000" w:themeColor="text1"/>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5CD1B">
            <w:pPr>
              <w:jc w:val="center"/>
              <w:rPr>
                <w:rFonts w:ascii="宋体" w:hAnsi="宋体" w:cs="宋体"/>
                <w:b/>
                <w:bCs/>
                <w:color w:val="000000" w:themeColor="text1"/>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E9650">
            <w:pPr>
              <w:jc w:val="center"/>
              <w:rPr>
                <w:rFonts w:ascii="宋体" w:hAnsi="宋体" w:cs="宋体"/>
                <w:b/>
                <w:bCs/>
                <w:color w:val="000000" w:themeColor="text1"/>
                <w:sz w:val="20"/>
                <w:szCs w:val="20"/>
              </w:rPr>
            </w:pPr>
          </w:p>
        </w:tc>
      </w:tr>
      <w:tr w14:paraId="121531F6">
        <w:tblPrEx>
          <w:tblCellMar>
            <w:top w:w="0" w:type="dxa"/>
            <w:left w:w="28" w:type="dxa"/>
            <w:bottom w:w="0" w:type="dxa"/>
            <w:right w:w="28" w:type="dxa"/>
          </w:tblCellMar>
        </w:tblPrEx>
        <w:trPr>
          <w:trHeight w:val="283" w:hRule="atLeast"/>
          <w:tblHeader/>
        </w:trPr>
        <w:tc>
          <w:tcPr>
            <w:tcW w:w="1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381DB">
            <w:pPr>
              <w:jc w:val="center"/>
              <w:rPr>
                <w:rFonts w:ascii="宋体" w:hAnsi="宋体" w:cs="宋体"/>
                <w:b/>
                <w:bCs/>
                <w:color w:val="000000" w:themeColor="text1"/>
                <w:sz w:val="20"/>
                <w:szCs w:val="20"/>
              </w:rPr>
            </w:pPr>
          </w:p>
        </w:tc>
        <w:tc>
          <w:tcPr>
            <w:tcW w:w="4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F30AB">
            <w:pPr>
              <w:jc w:val="center"/>
              <w:rPr>
                <w:rFonts w:ascii="宋体" w:hAnsi="宋体" w:cs="宋体"/>
                <w:b/>
                <w:bCs/>
                <w:color w:val="000000" w:themeColor="text1"/>
                <w:sz w:val="20"/>
                <w:szCs w:val="20"/>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96AF4">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1</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79D8F">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2</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D1687">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3</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D6072">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4</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2B1AC">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5=2+4</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14E90">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6</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A19CA">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03281">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8=6+7</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CA1EB">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9=6/2</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947FE">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10=7/4</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E5579">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11=8/5</w:t>
            </w:r>
          </w:p>
        </w:tc>
      </w:tr>
      <w:tr w14:paraId="0BFAA97C">
        <w:tblPrEx>
          <w:tblCellMar>
            <w:top w:w="0" w:type="dxa"/>
            <w:left w:w="28" w:type="dxa"/>
            <w:bottom w:w="0" w:type="dxa"/>
            <w:right w:w="28" w:type="dxa"/>
          </w:tblCellMar>
        </w:tblPrEx>
        <w:trPr>
          <w:trHeight w:val="860" w:hRule="atLeast"/>
        </w:trPr>
        <w:tc>
          <w:tcPr>
            <w:tcW w:w="1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109A3">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8E6D6">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市机关事务管理中心（本级）</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4BAB7">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20971.359203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76AF">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19255.439203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3B1F2">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7790.221026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F3B8">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7605.751443 </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7A935">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26861.190646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2BA9A">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19062.276381 </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49376">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6475.112085 </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AB6B5">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25537.388466 </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56A5">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99.00%</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2CD0">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85.13%</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820C">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95.07%</w:t>
            </w:r>
          </w:p>
        </w:tc>
      </w:tr>
      <w:tr w14:paraId="662FE214">
        <w:tblPrEx>
          <w:tblCellMar>
            <w:top w:w="0" w:type="dxa"/>
            <w:left w:w="28" w:type="dxa"/>
            <w:bottom w:w="0" w:type="dxa"/>
            <w:right w:w="28" w:type="dxa"/>
          </w:tblCellMar>
        </w:tblPrEx>
        <w:trPr>
          <w:trHeight w:val="860" w:hRule="atLeast"/>
        </w:trPr>
        <w:tc>
          <w:tcPr>
            <w:tcW w:w="1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B178E">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2</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F3409">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市机关事务局第一幼儿园</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3E1F4">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1971.250406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87FF">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2220.133196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EE6AC">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347.449223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67611">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529.449243 </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0BAF">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2749.582439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DFEB1">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2174.933736 </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D0E0">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529.449243 </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B1509">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2704.382979 </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9D3B">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97.96%</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BEA4">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01B54">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98.36%</w:t>
            </w:r>
          </w:p>
        </w:tc>
      </w:tr>
      <w:tr w14:paraId="35F18257">
        <w:tblPrEx>
          <w:tblCellMar>
            <w:top w:w="0" w:type="dxa"/>
            <w:left w:w="28" w:type="dxa"/>
            <w:bottom w:w="0" w:type="dxa"/>
            <w:right w:w="28" w:type="dxa"/>
          </w:tblCellMar>
        </w:tblPrEx>
        <w:trPr>
          <w:trHeight w:val="860" w:hRule="atLeast"/>
        </w:trPr>
        <w:tc>
          <w:tcPr>
            <w:tcW w:w="1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D95AF">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3</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251E7">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市机关事务局第二幼儿园</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85F2F">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1178.907500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EC3E">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1181.302281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690E9">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211.012256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B651">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211.012256 </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509B2">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1392.314537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C0846">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1146.219796 </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D0E87">
            <w:pPr>
              <w:widowControl/>
              <w:jc w:val="righ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 xml:space="preserve">211.011656 </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EAA6">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1357.231452 </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6C34">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97.03%</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8F631">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22AEB">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97.48%</w:t>
            </w:r>
          </w:p>
        </w:tc>
      </w:tr>
      <w:tr w14:paraId="51C3C712">
        <w:tblPrEx>
          <w:tblCellMar>
            <w:top w:w="0" w:type="dxa"/>
            <w:left w:w="28" w:type="dxa"/>
            <w:bottom w:w="0" w:type="dxa"/>
            <w:right w:w="28" w:type="dxa"/>
          </w:tblCellMar>
        </w:tblPrEx>
        <w:trPr>
          <w:trHeight w:val="340" w:hRule="atLeast"/>
        </w:trPr>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039EA">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合计</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1AF08">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24121.517109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5288">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22656.874680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C0CAF">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8348.682505 </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95EF2">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8346.212942 </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40568">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31003.087622 </w:t>
            </w:r>
          </w:p>
        </w:tc>
        <w:tc>
          <w:tcPr>
            <w:tcW w:w="1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2545">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22383.429913 </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B659">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7215.572984 </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740A">
            <w:pPr>
              <w:widowControl/>
              <w:jc w:val="right"/>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 xml:space="preserve">29599.002897 </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E9AE">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98.79%</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9322C">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86.45%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AAA8">
            <w:pPr>
              <w:widowControl/>
              <w:jc w:val="center"/>
              <w:textAlignment w:val="center"/>
              <w:rPr>
                <w:rFonts w:ascii="宋体" w:hAnsi="宋体" w:cs="宋体"/>
                <w:b/>
                <w:bCs/>
                <w:color w:val="000000" w:themeColor="text1"/>
                <w:sz w:val="20"/>
                <w:szCs w:val="20"/>
              </w:rPr>
            </w:pPr>
            <w:r>
              <w:rPr>
                <w:rFonts w:hint="eastAsia" w:ascii="宋体" w:hAnsi="宋体" w:cs="宋体"/>
                <w:b/>
                <w:bCs/>
                <w:color w:val="000000" w:themeColor="text1"/>
                <w:kern w:val="0"/>
                <w:sz w:val="20"/>
                <w:szCs w:val="20"/>
              </w:rPr>
              <w:t>95.47%</w:t>
            </w:r>
          </w:p>
        </w:tc>
      </w:tr>
    </w:tbl>
    <w:p w14:paraId="14ABBF58">
      <w:pPr>
        <w:adjustRightInd w:val="0"/>
        <w:snapToGrid w:val="0"/>
        <w:rPr>
          <w:rFonts w:ascii="宋体" w:hAnsi="宋体" w:cs="宋体"/>
          <w:color w:val="000000" w:themeColor="text1"/>
          <w:kern w:val="0"/>
          <w:sz w:val="20"/>
          <w:szCs w:val="20"/>
        </w:rPr>
      </w:pPr>
      <w:r>
        <w:rPr>
          <w:rFonts w:hint="eastAsia" w:ascii="宋体" w:hAnsi="宋体" w:cs="宋体"/>
          <w:color w:val="000000" w:themeColor="text1"/>
          <w:kern w:val="0"/>
          <w:sz w:val="20"/>
          <w:szCs w:val="20"/>
        </w:rPr>
        <w:t>注：2024年市机关事务管理中心年初预算数中含其他收入560.00万元，其中市机关事务管理中心（本级）540.00万元，用于项目经费支出；市机关事务局第一幼儿园20.00万元，用于基本经费支出。</w:t>
      </w:r>
    </w:p>
    <w:p w14:paraId="28396C89">
      <w:pPr>
        <w:adjustRightInd w:val="0"/>
        <w:snapToGrid w:val="0"/>
        <w:spacing w:line="360" w:lineRule="auto"/>
        <w:outlineLvl w:val="0"/>
        <w:rPr>
          <w:rFonts w:ascii="黑体" w:hAnsi="黑体" w:eastAsia="黑体" w:cs="宋体"/>
          <w:color w:val="000000" w:themeColor="text1"/>
          <w:kern w:val="0"/>
          <w:sz w:val="20"/>
          <w:szCs w:val="20"/>
        </w:rPr>
        <w:sectPr>
          <w:footerReference r:id="rId5" w:type="default"/>
          <w:pgSz w:w="16838" w:h="11906" w:orient="landscape"/>
          <w:pgMar w:top="1800" w:right="1440" w:bottom="1800" w:left="1440" w:header="851" w:footer="992" w:gutter="0"/>
          <w:cols w:space="425" w:num="1"/>
          <w:docGrid w:type="lines" w:linePitch="312" w:charSpace="0"/>
        </w:sectPr>
      </w:pPr>
    </w:p>
    <w:p w14:paraId="4FB0583C">
      <w:pPr>
        <w:adjustRightInd w:val="0"/>
        <w:snapToGrid w:val="0"/>
        <w:spacing w:line="360" w:lineRule="auto"/>
        <w:ind w:firstLine="640" w:firstLineChars="200"/>
        <w:outlineLvl w:val="0"/>
        <w:rPr>
          <w:rFonts w:ascii="黑体" w:hAnsi="黑体" w:eastAsia="黑体" w:cs="宋体"/>
          <w:color w:val="000000" w:themeColor="text1"/>
          <w:kern w:val="0"/>
          <w:sz w:val="32"/>
          <w:szCs w:val="32"/>
        </w:rPr>
      </w:pPr>
      <w:bookmarkStart w:id="4" w:name="_Toc1179"/>
      <w:r>
        <w:rPr>
          <w:rFonts w:hint="eastAsia" w:ascii="黑体" w:hAnsi="黑体" w:eastAsia="黑体" w:cs="宋体"/>
          <w:color w:val="000000" w:themeColor="text1"/>
          <w:kern w:val="0"/>
          <w:sz w:val="32"/>
          <w:szCs w:val="32"/>
        </w:rPr>
        <w:t>三</w:t>
      </w:r>
      <w:r>
        <w:rPr>
          <w:rFonts w:ascii="黑体" w:hAnsi="黑体" w:eastAsia="黑体" w:cs="宋体"/>
          <w:color w:val="000000" w:themeColor="text1"/>
          <w:kern w:val="0"/>
          <w:sz w:val="32"/>
          <w:szCs w:val="32"/>
        </w:rPr>
        <w:t>、整体绩效目标实现情况</w:t>
      </w:r>
      <w:bookmarkEnd w:id="4"/>
    </w:p>
    <w:p w14:paraId="55C176CF">
      <w:pPr>
        <w:adjustRightInd w:val="0"/>
        <w:snapToGrid w:val="0"/>
        <w:spacing w:line="360" w:lineRule="auto"/>
        <w:ind w:firstLine="480" w:firstLineChars="150"/>
        <w:outlineLvl w:val="1"/>
        <w:rPr>
          <w:rFonts w:ascii="楷体_GB2312" w:eastAsia="楷体_GB2312"/>
          <w:color w:val="000000" w:themeColor="text1"/>
          <w:sz w:val="32"/>
          <w:szCs w:val="32"/>
        </w:rPr>
      </w:pPr>
      <w:bookmarkStart w:id="5" w:name="_Toc1789"/>
      <w:r>
        <w:rPr>
          <w:rFonts w:hint="eastAsia" w:ascii="楷体_GB2312" w:eastAsia="楷体_GB2312"/>
          <w:color w:val="000000" w:themeColor="text1"/>
          <w:sz w:val="32"/>
          <w:szCs w:val="32"/>
        </w:rPr>
        <w:t>（一）产出完成情况分析</w:t>
      </w:r>
      <w:bookmarkEnd w:id="5"/>
    </w:p>
    <w:p w14:paraId="25F3212D">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1.产出数量</w:t>
      </w:r>
    </w:p>
    <w:p w14:paraId="771CAB14">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2024年度，市机关事务管理中心结合自身职能职责和年度工作需求，主要开展了包含“维修改造、设备更新、房屋管理、安保管理、财务及资产管理”等</w:t>
      </w:r>
      <w:r>
        <w:rPr>
          <w:rFonts w:hint="eastAsia" w:ascii="仿宋_GB2312" w:hAnsi="宋体" w:eastAsia="仿宋_GB2312" w:cs="宋体"/>
          <w:b/>
          <w:bCs/>
          <w:color w:val="000000" w:themeColor="text1"/>
          <w:kern w:val="0"/>
          <w:sz w:val="32"/>
          <w:szCs w:val="32"/>
        </w:rPr>
        <w:t>后勤服务保障</w:t>
      </w:r>
      <w:r>
        <w:rPr>
          <w:rFonts w:hint="eastAsia" w:ascii="仿宋_GB2312" w:hAnsi="宋体" w:eastAsia="仿宋_GB2312" w:cs="宋体"/>
          <w:color w:val="000000" w:themeColor="text1"/>
          <w:kern w:val="0"/>
          <w:sz w:val="32"/>
          <w:szCs w:val="32"/>
        </w:rPr>
        <w:t>工作，“文件办理、会议组织与保障、人事管理”等</w:t>
      </w:r>
      <w:r>
        <w:rPr>
          <w:rFonts w:hint="eastAsia" w:ascii="仿宋_GB2312" w:hAnsi="宋体" w:eastAsia="仿宋_GB2312" w:cs="宋体"/>
          <w:b/>
          <w:bCs/>
          <w:color w:val="000000" w:themeColor="text1"/>
          <w:kern w:val="0"/>
          <w:sz w:val="32"/>
          <w:szCs w:val="32"/>
        </w:rPr>
        <w:t>行政服务</w:t>
      </w:r>
      <w:r>
        <w:rPr>
          <w:rFonts w:hint="eastAsia" w:ascii="仿宋_GB2312" w:hAnsi="宋体" w:eastAsia="仿宋_GB2312" w:cs="宋体"/>
          <w:color w:val="000000" w:themeColor="text1"/>
          <w:kern w:val="0"/>
          <w:sz w:val="32"/>
          <w:szCs w:val="32"/>
        </w:rPr>
        <w:t>工作，“环境及治安整治、精神文明建设、交通安全、防疫防控、信访安全”等</w:t>
      </w:r>
      <w:r>
        <w:rPr>
          <w:rFonts w:hint="eastAsia" w:ascii="仿宋_GB2312" w:hAnsi="宋体" w:eastAsia="仿宋_GB2312" w:cs="宋体"/>
          <w:b/>
          <w:bCs/>
          <w:color w:val="000000" w:themeColor="text1"/>
          <w:kern w:val="0"/>
          <w:sz w:val="32"/>
          <w:szCs w:val="32"/>
        </w:rPr>
        <w:t>社会事务管理</w:t>
      </w:r>
      <w:r>
        <w:rPr>
          <w:rFonts w:hint="eastAsia" w:ascii="仿宋_GB2312" w:hAnsi="宋体" w:eastAsia="仿宋_GB2312" w:cs="宋体"/>
          <w:color w:val="000000" w:themeColor="text1"/>
          <w:kern w:val="0"/>
          <w:sz w:val="32"/>
          <w:szCs w:val="32"/>
        </w:rPr>
        <w:t>工作</w:t>
      </w:r>
      <w:r>
        <w:rPr>
          <w:rFonts w:hint="eastAsia" w:ascii="仿宋_GB2312" w:eastAsia="仿宋_GB2312"/>
          <w:color w:val="000000" w:themeColor="text1"/>
          <w:sz w:val="32"/>
          <w:szCs w:val="32"/>
        </w:rPr>
        <w:t>，</w:t>
      </w:r>
      <w:r>
        <w:rPr>
          <w:rFonts w:hint="eastAsia" w:ascii="仿宋_GB2312" w:hAnsi="宋体" w:eastAsia="仿宋_GB2312" w:cs="宋体"/>
          <w:b/>
          <w:bCs/>
          <w:color w:val="000000" w:themeColor="text1"/>
          <w:kern w:val="0"/>
          <w:sz w:val="32"/>
          <w:szCs w:val="32"/>
        </w:rPr>
        <w:t>部门及相关单位积极主动履职履责，整体无偏离</w:t>
      </w:r>
      <w:r>
        <w:rPr>
          <w:rFonts w:hint="eastAsia" w:ascii="仿宋_GB2312" w:hAnsi="宋体" w:eastAsia="仿宋_GB2312" w:cs="宋体"/>
          <w:color w:val="000000" w:themeColor="text1"/>
          <w:kern w:val="0"/>
          <w:sz w:val="32"/>
          <w:szCs w:val="32"/>
        </w:rPr>
        <w:t>，具体如下：</w:t>
      </w:r>
    </w:p>
    <w:p w14:paraId="02E5BCE0">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（1）后勤服务保障方面</w:t>
      </w:r>
    </w:p>
    <w:p w14:paraId="1A3EC2AD">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2024年度，对6个办公区公共区域专用设备进行更新，购置53台（套）办公、餐饮消防等设备，完成了监控系统和餐饮消费系统的升级改造，提升了职工安全及餐饮保障水平；平稳顺利完成了市级机关第二批搬迁服务保障及市政务服务中心提升改造服务保障工作，完成六里桥办公区6、9号门门前广场维修改造工作，并为接诉即办改革论坛等大型活动提供了硬件支撑；做好重要专班和重大活动服务保障工作，如为“部市领导会商”活动组织开展各类基础设施维修保养工作、提供用房保障，配合做好进驻东交民巷办公区的前期需求对接和部分区域的施工布线工作等。</w:t>
      </w:r>
    </w:p>
    <w:p w14:paraId="224E8591">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同时，从严从紧控制“三公”经费预算，2024年压减部门预算1936.01万元，调整结余资金1084.54万元用于当年临时性必要支出；强化预算评审和绩效管理、加强部门预算评审，对54个项目进行预算自评，共审减金额1370.16万元；推动资产管理规范高效、强化资产利用效率，接收搬迁单位留置资产674件，价值1016.06万元；强化安全生产宣传教育，印制海报192份、安全提示扇卡1500余把，开展电梯迫降、停电、有限作业空间、跑水、燃气泄露、防汛等应急模拟演练累计164次，开展“一警六员”、疏散逃生和微型消防站等灭火实操和演练累计135次，各类防汛抢险演练44次，车辆特种灭火毯灭火实操12次。</w:t>
      </w:r>
    </w:p>
    <w:p w14:paraId="67ACE3D9">
      <w:pPr>
        <w:widowControl/>
        <w:adjustRightInd w:val="0"/>
        <w:snapToGrid w:val="0"/>
        <w:spacing w:line="360" w:lineRule="auto"/>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（2）行政服务方面</w:t>
      </w:r>
    </w:p>
    <w:p w14:paraId="3CD7A705">
      <w:pPr>
        <w:widowControl/>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年度内完成4306场共计97650余人次的会议活动服务保障，其中保障重要会议21场、视频会议230场、节假日应急会议42场，累计清洁会议室36000余次；升级改造管理中心干部收入系统，提升了人事管理工作效率；组织招聘42名应届毕业生；处理请休假、离京审批表343份；组织开展多次干部、职工培训等。</w:t>
      </w:r>
    </w:p>
    <w:p w14:paraId="240C644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（3）社会事务管理方面</w:t>
      </w:r>
    </w:p>
    <w:p w14:paraId="6F132B26">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年度内扎实开展党纪学习教育及二十届三中全会精神学习，组织32名处级以上干部参加《深入学习贯彻习近平新时代中国特色社会主义思想》专栏网络课程，组织党员进行处室意识形态形势分析并进行交流研讨2次；提高食材边角料的使用效率，研发了豆渣面包、香辣兰花梗等菜品，提供“半份菜”“拼盘菜”等供餐方式，减少用餐浪费；持续深入推进节约型机关建设，针对部分房屋建筑年限较长，设备设施老旧的情况，不断加强巡查巡视，以“防止跑冒滴漏”小切口推动“节能降耗”大提升。</w:t>
      </w:r>
    </w:p>
    <w:p w14:paraId="01645281">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根据年度工作安排，市机关事务管理中心将</w:t>
      </w:r>
      <w:r>
        <w:rPr>
          <w:rFonts w:hint="eastAsia" w:ascii="仿宋_GB2312" w:eastAsia="仿宋_GB2312"/>
          <w:color w:val="000000" w:themeColor="text1"/>
          <w:sz w:val="32"/>
          <w:szCs w:val="32"/>
        </w:rPr>
        <w:t>部门整体产出分解至各处室及二级预算单位的相关项目中，除各办公区公共区域专用设备购置、市机关事务局第二幼儿园教育教学设备购置等3个项目（见表6）产出数量存在一定偏差外，其他项目均按照计划完成指标。产出数量指标存在偏差的主要原因是实际工作受年度需求变化动态调整。</w:t>
      </w:r>
    </w:p>
    <w:p w14:paraId="3E6699D3">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表6：产出数量指标执行偏差统计</w:t>
      </w:r>
    </w:p>
    <w:tbl>
      <w:tblPr>
        <w:tblStyle w:val="14"/>
        <w:tblW w:w="5000" w:type="pct"/>
        <w:tblInd w:w="0" w:type="dxa"/>
        <w:tblLayout w:type="autofit"/>
        <w:tblCellMar>
          <w:top w:w="0" w:type="dxa"/>
          <w:left w:w="28" w:type="dxa"/>
          <w:bottom w:w="0" w:type="dxa"/>
          <w:right w:w="28" w:type="dxa"/>
        </w:tblCellMar>
      </w:tblPr>
      <w:tblGrid>
        <w:gridCol w:w="661"/>
        <w:gridCol w:w="1477"/>
        <w:gridCol w:w="1855"/>
        <w:gridCol w:w="1430"/>
        <w:gridCol w:w="2939"/>
      </w:tblGrid>
      <w:tr w14:paraId="10E1295D">
        <w:trPr>
          <w:trHeight w:val="460" w:hRule="atLeast"/>
          <w:tblHeader/>
        </w:trPr>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38CD4">
            <w:pPr>
              <w:widowControl/>
              <w:adjustRightInd w:val="0"/>
              <w:snapToGrid w:val="0"/>
              <w:jc w:val="center"/>
              <w:rPr>
                <w:rFonts w:ascii="宋体" w:hAnsi="宋体" w:cs="宋体"/>
                <w:b/>
                <w:bCs/>
                <w:color w:val="000000" w:themeColor="text1"/>
                <w:kern w:val="0"/>
                <w:sz w:val="20"/>
                <w:szCs w:val="20"/>
              </w:rPr>
            </w:pPr>
            <w:r>
              <w:rPr>
                <w:rFonts w:ascii="宋体" w:hAnsi="宋体" w:cs="宋体"/>
                <w:b/>
                <w:bCs/>
                <w:color w:val="000000" w:themeColor="text1"/>
                <w:kern w:val="0"/>
                <w:sz w:val="20"/>
                <w:szCs w:val="20"/>
              </w:rPr>
              <w:t>序号</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1B2C3">
            <w:pPr>
              <w:widowControl/>
              <w:adjustRightInd w:val="0"/>
              <w:snapToGrid w:val="0"/>
              <w:jc w:val="center"/>
              <w:rPr>
                <w:rFonts w:ascii="宋体" w:hAnsi="宋体" w:cs="宋体"/>
                <w:b/>
                <w:bCs/>
                <w:color w:val="000000" w:themeColor="text1"/>
                <w:kern w:val="0"/>
                <w:sz w:val="20"/>
                <w:szCs w:val="20"/>
              </w:rPr>
            </w:pPr>
            <w:r>
              <w:rPr>
                <w:rFonts w:ascii="宋体" w:hAnsi="宋体" w:cs="宋体"/>
                <w:b/>
                <w:bCs/>
                <w:color w:val="000000" w:themeColor="text1"/>
                <w:kern w:val="0"/>
                <w:sz w:val="20"/>
                <w:szCs w:val="20"/>
              </w:rPr>
              <w:t>项目名称</w:t>
            </w:r>
          </w:p>
        </w:tc>
        <w:tc>
          <w:tcPr>
            <w:tcW w:w="1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6A366">
            <w:pPr>
              <w:widowControl/>
              <w:adjustRightInd w:val="0"/>
              <w:snapToGrid w:val="0"/>
              <w:jc w:val="center"/>
              <w:rPr>
                <w:rFonts w:ascii="宋体" w:hAnsi="宋体" w:cs="宋体"/>
                <w:b/>
                <w:bCs/>
                <w:color w:val="000000" w:themeColor="text1"/>
                <w:kern w:val="0"/>
                <w:sz w:val="20"/>
                <w:szCs w:val="20"/>
              </w:rPr>
            </w:pPr>
            <w:r>
              <w:rPr>
                <w:rFonts w:ascii="宋体" w:hAnsi="宋体" w:cs="宋体"/>
                <w:b/>
                <w:bCs/>
                <w:color w:val="000000" w:themeColor="text1"/>
                <w:kern w:val="0"/>
                <w:sz w:val="20"/>
                <w:szCs w:val="20"/>
              </w:rPr>
              <w:t>计划产出数量</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783DB">
            <w:pPr>
              <w:widowControl/>
              <w:adjustRightInd w:val="0"/>
              <w:snapToGrid w:val="0"/>
              <w:jc w:val="center"/>
              <w:rPr>
                <w:rFonts w:ascii="宋体" w:hAnsi="宋体" w:cs="宋体"/>
                <w:b/>
                <w:bCs/>
                <w:color w:val="000000" w:themeColor="text1"/>
                <w:kern w:val="0"/>
                <w:sz w:val="20"/>
                <w:szCs w:val="20"/>
              </w:rPr>
            </w:pPr>
            <w:r>
              <w:rPr>
                <w:rFonts w:ascii="宋体" w:hAnsi="宋体" w:cs="宋体"/>
                <w:b/>
                <w:bCs/>
                <w:color w:val="000000" w:themeColor="text1"/>
                <w:kern w:val="0"/>
                <w:sz w:val="20"/>
                <w:szCs w:val="20"/>
              </w:rPr>
              <w:t>实际产出数量</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BF01A">
            <w:pPr>
              <w:widowControl/>
              <w:adjustRightInd w:val="0"/>
              <w:snapToGrid w:val="0"/>
              <w:jc w:val="center"/>
              <w:rPr>
                <w:rFonts w:ascii="宋体" w:hAnsi="宋体" w:cs="宋体"/>
                <w:b/>
                <w:bCs/>
                <w:color w:val="000000" w:themeColor="text1"/>
                <w:kern w:val="0"/>
                <w:sz w:val="20"/>
                <w:szCs w:val="20"/>
              </w:rPr>
            </w:pPr>
            <w:r>
              <w:rPr>
                <w:rFonts w:ascii="宋体" w:hAnsi="宋体" w:cs="宋体"/>
                <w:b/>
                <w:bCs/>
                <w:color w:val="000000" w:themeColor="text1"/>
                <w:kern w:val="0"/>
                <w:sz w:val="20"/>
                <w:szCs w:val="20"/>
              </w:rPr>
              <w:t>偏差原因</w:t>
            </w:r>
          </w:p>
        </w:tc>
      </w:tr>
      <w:tr w14:paraId="6DF15C82">
        <w:trPr>
          <w:trHeight w:val="74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4394E">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02BF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各办公区公共区域专用设备购置</w:t>
            </w:r>
          </w:p>
        </w:tc>
        <w:tc>
          <w:tcPr>
            <w:tcW w:w="1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FFD63">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年度内购置设备数量≥117个（台、套、件、辆）</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3DF2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53个（台、套、件、辆）</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059C1">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根据实际需求采购，与计划数存在一定偏差</w:t>
            </w:r>
          </w:p>
        </w:tc>
      </w:tr>
      <w:tr w14:paraId="740588DE">
        <w:trPr>
          <w:trHeight w:val="74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9707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FCD7F">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市档案馆旧馆开办项目</w:t>
            </w:r>
          </w:p>
        </w:tc>
        <w:tc>
          <w:tcPr>
            <w:tcW w:w="1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7338B">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购置公共区域设备=7类</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AC1B8">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6类</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A7CDD">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按照实际需求购置6类</w:t>
            </w:r>
          </w:p>
        </w:tc>
      </w:tr>
      <w:tr w14:paraId="67D0337D">
        <w:trPr>
          <w:trHeight w:val="88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14795">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292DB">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市机关事务局第二幼儿园专用设备购置经费</w:t>
            </w:r>
          </w:p>
        </w:tc>
        <w:tc>
          <w:tcPr>
            <w:tcW w:w="1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76D59">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书架1套；电钢琴6台；空调1台</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66B6A">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书架0套；电钢琴0台；空调0台</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7F938">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结合实际设备更新购置需求及安全需求等采购设备，与年初计划存在一定差异</w:t>
            </w:r>
          </w:p>
        </w:tc>
      </w:tr>
    </w:tbl>
    <w:p w14:paraId="5C34544B">
      <w:pPr>
        <w:adjustRightInd w:val="0"/>
        <w:snapToGrid w:val="0"/>
        <w:rPr>
          <w:rFonts w:ascii="仿宋_GB2312" w:hAnsi="宋体" w:eastAsia="仿宋_GB2312" w:cs="宋体"/>
          <w:color w:val="000000" w:themeColor="text1"/>
          <w:kern w:val="0"/>
          <w:sz w:val="20"/>
          <w:szCs w:val="20"/>
        </w:rPr>
      </w:pPr>
    </w:p>
    <w:p w14:paraId="57E17542">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2.产出</w:t>
      </w:r>
      <w:r>
        <w:rPr>
          <w:rFonts w:ascii="仿宋_GB2312" w:hAnsi="宋体" w:eastAsia="仿宋_GB2312" w:cs="宋体"/>
          <w:color w:val="000000" w:themeColor="text1"/>
          <w:kern w:val="0"/>
          <w:sz w:val="32"/>
          <w:szCs w:val="32"/>
        </w:rPr>
        <w:t>质量</w:t>
      </w:r>
    </w:p>
    <w:p w14:paraId="183D9C0A">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w:t>
      </w:r>
      <w:r>
        <w:rPr>
          <w:rFonts w:ascii="仿宋_GB2312" w:eastAsia="仿宋_GB2312"/>
          <w:color w:val="000000" w:themeColor="text1"/>
          <w:sz w:val="32"/>
          <w:szCs w:val="32"/>
        </w:rPr>
        <w:t>2</w:t>
      </w:r>
      <w:r>
        <w:rPr>
          <w:rFonts w:hint="eastAsia" w:ascii="仿宋_GB2312" w:eastAsia="仿宋_GB2312"/>
          <w:color w:val="000000" w:themeColor="text1"/>
          <w:sz w:val="32"/>
          <w:szCs w:val="32"/>
        </w:rPr>
        <w:t>4年度，</w:t>
      </w:r>
      <w:r>
        <w:rPr>
          <w:rFonts w:hint="eastAsia" w:ascii="仿宋_GB2312" w:hAnsi="宋体" w:eastAsia="仿宋_GB2312" w:cs="宋体"/>
          <w:color w:val="000000" w:themeColor="text1"/>
          <w:kern w:val="0"/>
          <w:sz w:val="32"/>
          <w:szCs w:val="32"/>
        </w:rPr>
        <w:t>市机关事务管理中心</w:t>
      </w:r>
      <w:r>
        <w:rPr>
          <w:rFonts w:hint="eastAsia" w:ascii="仿宋_GB2312" w:eastAsia="仿宋_GB2312"/>
          <w:color w:val="000000" w:themeColor="text1"/>
          <w:sz w:val="32"/>
          <w:szCs w:val="32"/>
        </w:rPr>
        <w:t>各项产出基本按照预期质量要求完成，以部门主要职能职责对应的工作质量情况为分析对象，具体情况如下：</w:t>
      </w:r>
    </w:p>
    <w:p w14:paraId="29ACBD0C">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（1）后勤服务保障方面</w:t>
      </w:r>
    </w:p>
    <w:p w14:paraId="5EEE7D1C">
      <w:pPr>
        <w:widowControl/>
        <w:numPr>
          <w:ilvl w:val="255"/>
          <w:numId w:val="0"/>
        </w:num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物业与餐饮后勤服务保障上，严格遵循政府采购及委托服务合同标准，全年稳定完成各办公区卫生清洁、设施维修与供餐服务。所有服务人员资质合规，需求响应迅速，服务全流程均有明确规范，确保服务质量始终处于可控状态；维修与信息服务保障上，通过定期与不定期巡检等维修机制，建立起高效的需求响应体系，从故障报修到处理完成，均有标准化流程，保障各办公区信息服务安全稳定运行，运维工作质量全程可监督、可把控；综合保障上，依照年度工作计划，组织开展房屋及资产盘点、安保等工作，持续为办公区内环境安全和资产安全提供保障。</w:t>
      </w:r>
    </w:p>
    <w:p w14:paraId="137FE77C">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（2）行政服务方面</w:t>
      </w:r>
    </w:p>
    <w:p w14:paraId="2C03F583">
      <w:pPr>
        <w:widowControl/>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会议保障方面，根据实际会议需求，灵活采用线上、线下模式，凭借稳定的会议信息系统与优质服务，确保会议顺利推进。尤其在重大活动、节假日等特殊时段，及时增派信息化及服务人员，全程实现高标准服务质量把控。人事管理方面，相关工作严格依照部门实际需求与既定流程有序开展，每一个环节均做到严谨规范，确保各项人事工作合法合规、精准高效，实现人事管理工作质量的稳定可控。</w:t>
      </w:r>
    </w:p>
    <w:p w14:paraId="1870F833">
      <w:pPr>
        <w:adjustRightInd w:val="0"/>
        <w:snapToGrid w:val="0"/>
        <w:spacing w:line="360" w:lineRule="auto"/>
        <w:ind w:firstLine="640" w:firstLineChars="200"/>
        <w:rPr>
          <w:rFonts w:ascii="仿宋_GB2312" w:hAnsi="宋体" w:eastAsia="仿宋_GB2312" w:cs="宋体"/>
          <w:color w:val="000000" w:themeColor="text1"/>
          <w:kern w:val="0"/>
          <w:sz w:val="32"/>
          <w:szCs w:val="32"/>
        </w:rPr>
      </w:pPr>
    </w:p>
    <w:p w14:paraId="2558440D">
      <w:pPr>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br w:type="page"/>
      </w:r>
    </w:p>
    <w:p w14:paraId="568D61CC">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（3）社会事务管理方面</w:t>
      </w:r>
    </w:p>
    <w:p w14:paraId="4BE1C2AD">
      <w:pPr>
        <w:widowControl/>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扎实推进精神文明建设工作，依托电子屏、宣传栏等宣传载体，围绕节能、安全生产等主题开展多样化宣传，营造全员参与的良好氛围。</w:t>
      </w:r>
    </w:p>
    <w:p w14:paraId="28A49338">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整体上，部门2024年度工作整体达到了年初计划的质量要求，除蒲黄榆办公区更换恒温空调工作因需求变化尚未开展外，其余工作质量完成情况无偏离。</w:t>
      </w:r>
    </w:p>
    <w:p w14:paraId="4B3CA530">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3.产出进度</w:t>
      </w:r>
    </w:p>
    <w:p w14:paraId="4FF3D0FB">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eastAsia="仿宋_GB2312"/>
          <w:color w:val="000000" w:themeColor="text1"/>
          <w:sz w:val="32"/>
          <w:szCs w:val="32"/>
        </w:rPr>
        <w:t>20</w:t>
      </w:r>
      <w:r>
        <w:rPr>
          <w:rFonts w:ascii="仿宋_GB2312" w:eastAsia="仿宋_GB2312"/>
          <w:color w:val="000000" w:themeColor="text1"/>
          <w:sz w:val="32"/>
          <w:szCs w:val="32"/>
        </w:rPr>
        <w:t>2</w:t>
      </w:r>
      <w:r>
        <w:rPr>
          <w:rFonts w:hint="eastAsia" w:ascii="仿宋_GB2312" w:eastAsia="仿宋_GB2312"/>
          <w:color w:val="000000" w:themeColor="text1"/>
          <w:sz w:val="32"/>
          <w:szCs w:val="32"/>
        </w:rPr>
        <w:t>4年度，</w:t>
      </w:r>
      <w:r>
        <w:rPr>
          <w:rFonts w:hint="eastAsia" w:ascii="仿宋_GB2312" w:hAnsi="宋体" w:eastAsia="仿宋_GB2312" w:cs="宋体"/>
          <w:color w:val="000000" w:themeColor="text1"/>
          <w:kern w:val="0"/>
          <w:sz w:val="32"/>
          <w:szCs w:val="32"/>
        </w:rPr>
        <w:t>市机关事务管理中心基本按时完成后勤服务保障、行政服务以及社会事务管理等工作，并及时完成合同签订、费用支出；除六里桥办公区6、9号门门前广场维修提升、蒲黄榆办公区更换恒温空调2个项目（见表7）工作进度与年初计划存在一定偏差外，其他项目工作与年初计划进度无偏离。产出进度存在偏差的主要原因是维修改造内容增加导致完工延迟、部分设备采购工作受年度需求的变化而进行调整。</w:t>
      </w:r>
    </w:p>
    <w:p w14:paraId="16DA7686">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表7：产出进度偏差统计</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17"/>
        <w:gridCol w:w="1784"/>
        <w:gridCol w:w="1754"/>
        <w:gridCol w:w="1879"/>
        <w:gridCol w:w="2428"/>
      </w:tblGrid>
      <w:tr w14:paraId="72BC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blHeader/>
          <w:jc w:val="center"/>
        </w:trPr>
        <w:tc>
          <w:tcPr>
            <w:tcW w:w="309" w:type="pct"/>
            <w:shd w:val="clear" w:color="auto" w:fill="auto"/>
            <w:vAlign w:val="center"/>
          </w:tcPr>
          <w:p w14:paraId="2E713F12">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序号</w:t>
            </w:r>
          </w:p>
        </w:tc>
        <w:tc>
          <w:tcPr>
            <w:tcW w:w="1066" w:type="pct"/>
            <w:shd w:val="clear" w:color="auto" w:fill="auto"/>
            <w:vAlign w:val="center"/>
          </w:tcPr>
          <w:p w14:paraId="081BFB09">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项目名称</w:t>
            </w:r>
          </w:p>
        </w:tc>
        <w:tc>
          <w:tcPr>
            <w:tcW w:w="1048" w:type="pct"/>
            <w:shd w:val="clear" w:color="auto" w:fill="auto"/>
            <w:vAlign w:val="center"/>
          </w:tcPr>
          <w:p w14:paraId="276E8088">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计划产出进度</w:t>
            </w:r>
          </w:p>
        </w:tc>
        <w:tc>
          <w:tcPr>
            <w:tcW w:w="1123" w:type="pct"/>
            <w:shd w:val="clear" w:color="auto" w:fill="auto"/>
            <w:vAlign w:val="center"/>
          </w:tcPr>
          <w:p w14:paraId="235DC7ED">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实际产出进度</w:t>
            </w:r>
          </w:p>
        </w:tc>
        <w:tc>
          <w:tcPr>
            <w:tcW w:w="1451" w:type="pct"/>
            <w:shd w:val="clear" w:color="auto" w:fill="auto"/>
            <w:vAlign w:val="center"/>
          </w:tcPr>
          <w:p w14:paraId="27985D01">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偏差原因</w:t>
            </w:r>
          </w:p>
        </w:tc>
      </w:tr>
      <w:tr w14:paraId="6ADA3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309" w:type="pct"/>
            <w:shd w:val="clear" w:color="auto" w:fill="auto"/>
            <w:vAlign w:val="center"/>
          </w:tcPr>
          <w:p w14:paraId="30DA50BF">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w:t>
            </w:r>
          </w:p>
        </w:tc>
        <w:tc>
          <w:tcPr>
            <w:tcW w:w="1066" w:type="pct"/>
            <w:shd w:val="clear" w:color="auto" w:fill="auto"/>
            <w:vAlign w:val="center"/>
          </w:tcPr>
          <w:p w14:paraId="42AE99EE">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六里桥办公区6、9号门门前广场维修提升</w:t>
            </w:r>
          </w:p>
        </w:tc>
        <w:tc>
          <w:tcPr>
            <w:tcW w:w="1048" w:type="pct"/>
            <w:shd w:val="clear" w:color="auto" w:fill="auto"/>
            <w:vAlign w:val="center"/>
          </w:tcPr>
          <w:p w14:paraId="63E08A8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项目按计划完工率100%</w:t>
            </w:r>
          </w:p>
        </w:tc>
        <w:tc>
          <w:tcPr>
            <w:tcW w:w="1123" w:type="pct"/>
            <w:shd w:val="clear" w:color="auto" w:fill="auto"/>
            <w:vAlign w:val="center"/>
          </w:tcPr>
          <w:p w14:paraId="3B2C72C2">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原计划11月16日完工，实际于12月2日完工</w:t>
            </w:r>
          </w:p>
        </w:tc>
        <w:tc>
          <w:tcPr>
            <w:tcW w:w="1451" w:type="pct"/>
            <w:shd w:val="clear" w:color="auto" w:fill="auto"/>
            <w:vAlign w:val="center"/>
          </w:tcPr>
          <w:p w14:paraId="1057B2D8">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因实际改造内容较原计划有所增加，工期延迟，未能按合同约定时间竣工</w:t>
            </w:r>
          </w:p>
        </w:tc>
      </w:tr>
      <w:tr w14:paraId="016E5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309" w:type="pct"/>
            <w:shd w:val="clear" w:color="auto" w:fill="auto"/>
            <w:vAlign w:val="center"/>
          </w:tcPr>
          <w:p w14:paraId="07F39E9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w:t>
            </w:r>
          </w:p>
        </w:tc>
        <w:tc>
          <w:tcPr>
            <w:tcW w:w="1066" w:type="pct"/>
            <w:shd w:val="clear" w:color="auto" w:fill="auto"/>
            <w:vAlign w:val="center"/>
          </w:tcPr>
          <w:p w14:paraId="03A4E98D">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蒲黄榆办公区更换恒温空调</w:t>
            </w:r>
          </w:p>
        </w:tc>
        <w:tc>
          <w:tcPr>
            <w:tcW w:w="1048" w:type="pct"/>
            <w:shd w:val="clear" w:color="auto" w:fill="auto"/>
            <w:vAlign w:val="center"/>
          </w:tcPr>
          <w:p w14:paraId="3A2370E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2025年4月30日前完成</w:t>
            </w:r>
          </w:p>
        </w:tc>
        <w:tc>
          <w:tcPr>
            <w:tcW w:w="1123" w:type="pct"/>
            <w:shd w:val="clear" w:color="auto" w:fill="auto"/>
            <w:vAlign w:val="center"/>
          </w:tcPr>
          <w:p w14:paraId="2E0ED322">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暂未完成</w:t>
            </w:r>
          </w:p>
        </w:tc>
        <w:tc>
          <w:tcPr>
            <w:tcW w:w="1451" w:type="pct"/>
            <w:shd w:val="clear" w:color="auto" w:fill="auto"/>
            <w:vAlign w:val="center"/>
          </w:tcPr>
          <w:p w14:paraId="73BB71DE">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空调购置需求变化</w:t>
            </w:r>
          </w:p>
        </w:tc>
      </w:tr>
    </w:tbl>
    <w:p w14:paraId="4338D14D">
      <w:pPr>
        <w:adjustRightInd w:val="0"/>
        <w:snapToGrid w:val="0"/>
        <w:rPr>
          <w:rFonts w:ascii="仿宋_GB2312" w:hAnsi="宋体" w:eastAsia="仿宋_GB2312" w:cs="宋体"/>
          <w:color w:val="000000" w:themeColor="text1"/>
          <w:kern w:val="0"/>
          <w:sz w:val="20"/>
          <w:szCs w:val="20"/>
        </w:rPr>
      </w:pPr>
    </w:p>
    <w:p w14:paraId="0B872027">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4.</w:t>
      </w:r>
      <w:r>
        <w:rPr>
          <w:rFonts w:hint="eastAsia" w:ascii="仿宋_GB2312" w:hAnsi="宋体" w:eastAsia="仿宋_GB2312" w:cs="宋体"/>
          <w:color w:val="000000" w:themeColor="text1"/>
          <w:kern w:val="0"/>
          <w:sz w:val="32"/>
          <w:szCs w:val="32"/>
        </w:rPr>
        <w:t>产出</w:t>
      </w:r>
      <w:r>
        <w:rPr>
          <w:rFonts w:ascii="仿宋_GB2312" w:hAnsi="宋体" w:eastAsia="仿宋_GB2312" w:cs="宋体"/>
          <w:color w:val="000000" w:themeColor="text1"/>
          <w:kern w:val="0"/>
          <w:sz w:val="32"/>
          <w:szCs w:val="32"/>
        </w:rPr>
        <w:t>成本</w:t>
      </w:r>
    </w:p>
    <w:p w14:paraId="6CB11779">
      <w:pPr>
        <w:adjustRightInd w:val="0"/>
        <w:snapToGrid w:val="0"/>
        <w:spacing w:line="360" w:lineRule="auto"/>
        <w:ind w:firstLine="643" w:firstLineChars="200"/>
        <w:rPr>
          <w:rFonts w:ascii="仿宋_GB2312" w:hAnsi="宋体" w:eastAsia="仿宋_GB2312" w:cs="宋体"/>
          <w:color w:val="000000" w:themeColor="text1"/>
          <w:kern w:val="0"/>
          <w:sz w:val="32"/>
          <w:szCs w:val="32"/>
        </w:rPr>
      </w:pPr>
      <w:r>
        <w:rPr>
          <w:rFonts w:hint="eastAsia" w:ascii="仿宋_GB2312" w:hAnsi="宋体" w:eastAsia="仿宋_GB2312" w:cs="宋体"/>
          <w:b/>
          <w:bCs/>
          <w:color w:val="000000" w:themeColor="text1"/>
          <w:kern w:val="0"/>
          <w:sz w:val="32"/>
          <w:szCs w:val="32"/>
        </w:rPr>
        <w:t>基本经费方面</w:t>
      </w: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02</w:t>
      </w:r>
      <w:r>
        <w:rPr>
          <w:rFonts w:hint="eastAsia" w:ascii="仿宋_GB2312" w:hAnsi="宋体" w:eastAsia="仿宋_GB2312" w:cs="宋体"/>
          <w:color w:val="000000" w:themeColor="text1"/>
          <w:kern w:val="0"/>
          <w:sz w:val="32"/>
          <w:szCs w:val="32"/>
        </w:rPr>
        <w:t>4年度，市机关事务管理中心基本经费实际执行22383.429913万元，占基本经费全年预算数22656.87468万元的98.79%，不存在超支现象。</w:t>
      </w:r>
    </w:p>
    <w:p w14:paraId="01F1B09C">
      <w:pPr>
        <w:adjustRightInd w:val="0"/>
        <w:snapToGrid w:val="0"/>
        <w:spacing w:line="360" w:lineRule="auto"/>
        <w:ind w:firstLine="643" w:firstLineChars="200"/>
        <w:rPr>
          <w:rFonts w:ascii="仿宋_GB2312" w:hAnsi="宋体" w:eastAsia="仿宋_GB2312" w:cs="宋体"/>
          <w:color w:val="000000" w:themeColor="text1"/>
          <w:kern w:val="0"/>
          <w:sz w:val="32"/>
          <w:szCs w:val="32"/>
        </w:rPr>
      </w:pPr>
      <w:r>
        <w:rPr>
          <w:rFonts w:hint="eastAsia" w:ascii="仿宋_GB2312" w:hAnsi="宋体" w:eastAsia="仿宋_GB2312" w:cs="宋体"/>
          <w:b/>
          <w:bCs/>
          <w:color w:val="000000" w:themeColor="text1"/>
          <w:kern w:val="0"/>
          <w:sz w:val="32"/>
          <w:szCs w:val="32"/>
        </w:rPr>
        <w:t>项目经费方面</w:t>
      </w: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02</w:t>
      </w:r>
      <w:r>
        <w:rPr>
          <w:rFonts w:hint="eastAsia" w:ascii="仿宋_GB2312" w:hAnsi="宋体" w:eastAsia="仿宋_GB2312" w:cs="宋体"/>
          <w:color w:val="000000" w:themeColor="text1"/>
          <w:kern w:val="0"/>
          <w:sz w:val="32"/>
          <w:szCs w:val="32"/>
        </w:rPr>
        <w:t>4年度，市机关事务管理中心项目经费实际执行7215.572984万元，占项目经费全年预算数8346.212942万元的86.45</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，不存在超支现象。</w:t>
      </w:r>
    </w:p>
    <w:p w14:paraId="59AD3F47">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整体上，</w:t>
      </w:r>
      <w:r>
        <w:rPr>
          <w:rFonts w:ascii="仿宋_GB2312" w:hAnsi="宋体" w:eastAsia="仿宋_GB2312" w:cs="宋体"/>
          <w:color w:val="000000" w:themeColor="text1"/>
          <w:kern w:val="0"/>
          <w:sz w:val="32"/>
          <w:szCs w:val="32"/>
        </w:rPr>
        <w:t>各项产出活动均在财政批复的资金范围内开展，</w:t>
      </w:r>
      <w:r>
        <w:rPr>
          <w:rFonts w:hint="eastAsia" w:ascii="仿宋_GB2312" w:hAnsi="宋体" w:eastAsia="仿宋_GB2312" w:cs="宋体"/>
          <w:color w:val="000000" w:themeColor="text1"/>
          <w:kern w:val="0"/>
          <w:sz w:val="32"/>
          <w:szCs w:val="32"/>
        </w:rPr>
        <w:t>并通过公开招标等政府采购方式节约财政资金，</w:t>
      </w:r>
      <w:r>
        <w:rPr>
          <w:rFonts w:ascii="仿宋_GB2312" w:hAnsi="宋体" w:eastAsia="仿宋_GB2312" w:cs="宋体"/>
          <w:color w:val="000000" w:themeColor="text1"/>
          <w:kern w:val="0"/>
          <w:sz w:val="32"/>
          <w:szCs w:val="32"/>
        </w:rPr>
        <w:t>支出控制在预算内</w:t>
      </w:r>
      <w:r>
        <w:rPr>
          <w:rFonts w:hint="eastAsia" w:ascii="仿宋_GB2312" w:hAnsi="宋体" w:eastAsia="仿宋_GB2312" w:cs="宋体"/>
          <w:color w:val="000000" w:themeColor="text1"/>
          <w:kern w:val="0"/>
          <w:sz w:val="32"/>
          <w:szCs w:val="32"/>
        </w:rPr>
        <w:t>，成本控制较好。</w:t>
      </w:r>
    </w:p>
    <w:p w14:paraId="062A14C1">
      <w:pPr>
        <w:adjustRightInd w:val="0"/>
        <w:snapToGrid w:val="0"/>
        <w:spacing w:line="360" w:lineRule="auto"/>
        <w:ind w:firstLine="480" w:firstLineChars="150"/>
        <w:outlineLvl w:val="1"/>
        <w:rPr>
          <w:rFonts w:ascii="楷体_GB2312" w:eastAsia="楷体_GB2312"/>
          <w:color w:val="000000" w:themeColor="text1"/>
          <w:sz w:val="32"/>
          <w:szCs w:val="32"/>
        </w:rPr>
      </w:pPr>
      <w:bookmarkStart w:id="6" w:name="_Toc23589"/>
      <w:r>
        <w:rPr>
          <w:rFonts w:hint="eastAsia" w:ascii="楷体_GB2312" w:eastAsia="楷体_GB2312"/>
          <w:color w:val="000000" w:themeColor="text1"/>
          <w:sz w:val="32"/>
          <w:szCs w:val="32"/>
        </w:rPr>
        <w:t>（二）效果</w:t>
      </w:r>
      <w:r>
        <w:rPr>
          <w:rFonts w:ascii="楷体_GB2312" w:eastAsia="楷体_GB2312"/>
          <w:color w:val="000000" w:themeColor="text1"/>
          <w:sz w:val="32"/>
          <w:szCs w:val="32"/>
        </w:rPr>
        <w:t>实现情况分析</w:t>
      </w:r>
      <w:bookmarkEnd w:id="6"/>
    </w:p>
    <w:p w14:paraId="7C4D1DE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02</w:t>
      </w:r>
      <w:r>
        <w:rPr>
          <w:rFonts w:hint="eastAsia" w:ascii="仿宋_GB2312" w:hAnsi="宋体" w:eastAsia="仿宋_GB2312" w:cs="宋体"/>
          <w:color w:val="000000" w:themeColor="text1"/>
          <w:kern w:val="0"/>
          <w:sz w:val="32"/>
          <w:szCs w:val="32"/>
        </w:rPr>
        <w:t>4年度，市机关事务管理中心聚焦后勤服务保障、行政服务、社会事务管理工作，统筹推进设备设施维修更新、物业环境维护及餐饮服务优化，通过精细化人员管理与专业化培训，高效满足办公需求并提升服务品质，获得有关领导及各办公区工作人员的一致好评，充分展现了北京市集中办公区服务保障风采。</w:t>
      </w:r>
    </w:p>
    <w:p w14:paraId="3824E076">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贯彻落实“两个更好服务”，做好重大活动后勤服务</w:t>
      </w:r>
    </w:p>
    <w:p w14:paraId="288D4F2C">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2024年度，市机关事务管理中心积极开展设备设施维修更新工作，有效满足了各办公区日常办公用品及设施的需求，支撑日常工作的开展。一是有序推进了六里桥办公区6、9号门门前广场改造、大楼消防排烟改造等项目，为市民热线职场进驻和“国际嘉宾走进12345”活动提供了坚实保障；二是结合东交民巷办公区特点，组织开展各类基础设施维修保养工作，并布置会见室等用房，</w:t>
      </w:r>
      <w:r>
        <w:rPr>
          <w:rFonts w:ascii="仿宋_GB2312" w:hAnsi="宋体" w:eastAsia="仿宋_GB2312" w:cs="宋体"/>
          <w:color w:val="000000" w:themeColor="text1"/>
          <w:kern w:val="0"/>
          <w:sz w:val="32"/>
          <w:szCs w:val="32"/>
        </w:rPr>
        <w:t>确保该</w:t>
      </w:r>
      <w:r>
        <w:rPr>
          <w:rFonts w:hint="eastAsia" w:ascii="仿宋_GB2312" w:hAnsi="宋体" w:eastAsia="仿宋_GB2312" w:cs="宋体"/>
          <w:color w:val="000000" w:themeColor="text1"/>
          <w:kern w:val="0"/>
          <w:sz w:val="32"/>
          <w:szCs w:val="32"/>
        </w:rPr>
        <w:t>办公区具备承接重要会议的服务能力。</w:t>
      </w:r>
    </w:p>
    <w:p w14:paraId="5F56247C">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精进管理服务精细化水平，保证日常工作正常运转</w:t>
      </w:r>
    </w:p>
    <w:p w14:paraId="43EF199A">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2024年度，市机关事务管理中心有力支撑各办公区日常工作的开展，保障各项工作的有效运转。一是修订完善《管理中心集中办公区餐饮服务指导意见》等规章制度，不断提高食堂餐饮管理服务规范化、精细化水平；二是从严从紧控制“三公”经费预算，强化预算评审和绩效管理，推动资产管理规范高效，持续深入推进节约型机关建设；三是做好人员管理与培训工作，不断提升干部队伍作风建设和能力水平。</w:t>
      </w:r>
    </w:p>
    <w:p w14:paraId="2338D625">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3.强化物业保障与电子政务建设，提升服务能级与质效</w:t>
      </w:r>
    </w:p>
    <w:p w14:paraId="756CF950">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2024年度，市机关事务管理中心积极为各办公区打造良好的物业环境，提供高水平、高水准物业保障。一是组织物业、餐饮等社会化服务公司对员工进行业务培训和岗位练兵，不断提高物业服务水平；二是有效保证了集中办公区2024年度网络稳定运行，满足了各委办局政务网和互联网应用的需求；三是对干部收入系统进行升级改造，方便干部职工及时、准确查询个人工资、保险、补贴等，提高了电子政务建设与运维效率。</w:t>
      </w:r>
    </w:p>
    <w:p w14:paraId="252DC7BE">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整体上，市机关事务管理中心部门履职效益发挥较好，但在文件办理、交通安全、防疫防控、信访安全等方面的效益有待进一步整理、挖掘；在满意度方面，各办公区对入驻单位满意情况进行了调查，整体满意情况较好，但未针对各具体项目开展满意度调查。</w:t>
      </w:r>
    </w:p>
    <w:p w14:paraId="193EC0C0">
      <w:pPr>
        <w:adjustRightInd w:val="0"/>
        <w:snapToGrid w:val="0"/>
        <w:spacing w:line="360" w:lineRule="auto"/>
        <w:ind w:firstLine="640" w:firstLineChars="200"/>
        <w:outlineLvl w:val="0"/>
        <w:rPr>
          <w:rFonts w:ascii="黑体" w:hAnsi="黑体" w:eastAsia="黑体" w:cs="宋体"/>
          <w:color w:val="000000" w:themeColor="text1"/>
          <w:kern w:val="0"/>
          <w:sz w:val="32"/>
          <w:szCs w:val="32"/>
        </w:rPr>
      </w:pPr>
      <w:bookmarkStart w:id="7" w:name="_Toc28662"/>
      <w:bookmarkStart w:id="8" w:name="_Toc135231101"/>
      <w:bookmarkStart w:id="9" w:name="_Toc135402103"/>
      <w:r>
        <w:rPr>
          <w:rFonts w:hint="eastAsia" w:ascii="黑体" w:hAnsi="黑体" w:eastAsia="黑体" w:cs="宋体"/>
          <w:color w:val="000000" w:themeColor="text1"/>
          <w:kern w:val="0"/>
          <w:sz w:val="32"/>
          <w:szCs w:val="32"/>
        </w:rPr>
        <w:t>四</w:t>
      </w:r>
      <w:r>
        <w:rPr>
          <w:rFonts w:ascii="黑体" w:hAnsi="黑体" w:eastAsia="黑体" w:cs="宋体"/>
          <w:color w:val="000000" w:themeColor="text1"/>
          <w:kern w:val="0"/>
          <w:sz w:val="32"/>
          <w:szCs w:val="32"/>
        </w:rPr>
        <w:t>、预算管理</w:t>
      </w:r>
      <w:r>
        <w:rPr>
          <w:rFonts w:hint="eastAsia" w:ascii="黑体" w:hAnsi="黑体" w:eastAsia="黑体" w:cs="宋体"/>
          <w:color w:val="000000" w:themeColor="text1"/>
          <w:kern w:val="0"/>
          <w:sz w:val="32"/>
          <w:szCs w:val="32"/>
        </w:rPr>
        <w:t>情况分</w:t>
      </w:r>
      <w:r>
        <w:rPr>
          <w:rFonts w:ascii="黑体" w:hAnsi="黑体" w:eastAsia="黑体" w:cs="宋体"/>
          <w:color w:val="000000" w:themeColor="text1"/>
          <w:kern w:val="0"/>
          <w:sz w:val="32"/>
          <w:szCs w:val="32"/>
        </w:rPr>
        <w:t>析</w:t>
      </w:r>
      <w:bookmarkEnd w:id="7"/>
      <w:bookmarkEnd w:id="8"/>
      <w:bookmarkEnd w:id="9"/>
    </w:p>
    <w:p w14:paraId="5166A619">
      <w:pPr>
        <w:adjustRightInd w:val="0"/>
        <w:snapToGrid w:val="0"/>
        <w:spacing w:line="360" w:lineRule="auto"/>
        <w:ind w:firstLine="640" w:firstLineChars="200"/>
        <w:outlineLvl w:val="1"/>
        <w:rPr>
          <w:rFonts w:ascii="楷体_GB2312" w:eastAsia="楷体_GB2312"/>
          <w:color w:val="000000" w:themeColor="text1"/>
          <w:sz w:val="32"/>
          <w:szCs w:val="32"/>
        </w:rPr>
      </w:pPr>
      <w:bookmarkStart w:id="10" w:name="_Toc16914"/>
      <w:bookmarkStart w:id="11" w:name="_Toc135402104"/>
      <w:bookmarkStart w:id="12" w:name="_Toc135231102"/>
      <w:r>
        <w:rPr>
          <w:rFonts w:hint="eastAsia" w:ascii="楷体_GB2312" w:eastAsia="楷体_GB2312"/>
          <w:color w:val="000000" w:themeColor="text1"/>
          <w:sz w:val="32"/>
          <w:szCs w:val="32"/>
        </w:rPr>
        <w:t>（一）财务管理</w:t>
      </w:r>
      <w:bookmarkEnd w:id="10"/>
    </w:p>
    <w:p w14:paraId="0EDD2B84">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1.财务管理制度健全性</w:t>
      </w:r>
    </w:p>
    <w:p w14:paraId="3A794450">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为规范部门内部资金使用规范性和安全性，市机关事务管理中心2</w:t>
      </w:r>
      <w:r>
        <w:rPr>
          <w:rFonts w:ascii="仿宋_GB2312" w:hAnsi="宋体" w:eastAsia="仿宋_GB2312" w:cs="宋体"/>
          <w:color w:val="000000" w:themeColor="text1"/>
          <w:kern w:val="0"/>
          <w:sz w:val="32"/>
          <w:szCs w:val="32"/>
        </w:rPr>
        <w:t>022</w:t>
      </w:r>
      <w:r>
        <w:rPr>
          <w:rFonts w:hint="eastAsia" w:ascii="仿宋_GB2312" w:hAnsi="宋体" w:eastAsia="仿宋_GB2312" w:cs="宋体"/>
          <w:color w:val="000000" w:themeColor="text1"/>
          <w:kern w:val="0"/>
          <w:sz w:val="32"/>
          <w:szCs w:val="32"/>
        </w:rPr>
        <w:t>年1</w:t>
      </w:r>
      <w:r>
        <w:rPr>
          <w:rFonts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rPr>
        <w:t>月印发了《北京市机关事务管理中心内部控制制度汇编》，制定了一套较为完备的内控管理制度，涵盖预算资金管理、预算绩效管理、资产管理、内部财务管理制度、会计核算制度等共计2</w:t>
      </w:r>
      <w:r>
        <w:rPr>
          <w:rFonts w:ascii="仿宋_GB2312" w:hAnsi="宋体" w:eastAsia="仿宋_GB2312" w:cs="宋体"/>
          <w:color w:val="000000" w:themeColor="text1"/>
          <w:kern w:val="0"/>
          <w:sz w:val="32"/>
          <w:szCs w:val="32"/>
        </w:rPr>
        <w:t>9</w:t>
      </w:r>
      <w:r>
        <w:rPr>
          <w:rFonts w:hint="eastAsia" w:ascii="仿宋_GB2312" w:hAnsi="宋体" w:eastAsia="仿宋_GB2312" w:cs="宋体"/>
          <w:color w:val="000000" w:themeColor="text1"/>
          <w:kern w:val="0"/>
          <w:sz w:val="32"/>
          <w:szCs w:val="32"/>
        </w:rPr>
        <w:t>项制度文件，能够为部门2024年度履职工作的顺利开展提供支撑，其中，关键性财务管理制度见表</w:t>
      </w:r>
      <w:r>
        <w:rPr>
          <w:rFonts w:ascii="仿宋_GB2312" w:hAnsi="宋体" w:eastAsia="仿宋_GB2312" w:cs="宋体"/>
          <w:color w:val="000000" w:themeColor="text1"/>
          <w:kern w:val="0"/>
          <w:sz w:val="32"/>
          <w:szCs w:val="32"/>
        </w:rPr>
        <w:t>8</w:t>
      </w:r>
      <w:r>
        <w:rPr>
          <w:rFonts w:hint="eastAsia" w:ascii="仿宋_GB2312" w:hAnsi="宋体" w:eastAsia="仿宋_GB2312" w:cs="宋体"/>
          <w:color w:val="000000" w:themeColor="text1"/>
          <w:kern w:val="0"/>
          <w:sz w:val="32"/>
          <w:szCs w:val="32"/>
        </w:rPr>
        <w:t>。但是个别制度办法更新不够及时，如，《北京市机关事务管理中心信息化项目管理办法》所依据的法规</w:t>
      </w:r>
      <w:r>
        <w:rPr>
          <w:rFonts w:hint="eastAsia" w:ascii="仿宋_GB2312" w:eastAsia="仿宋_GB2312"/>
          <w:color w:val="000000" w:themeColor="text1"/>
          <w:sz w:val="32"/>
          <w:szCs w:val="32"/>
        </w:rPr>
        <w:t>《中华人民共和国技术合同法》</w:t>
      </w:r>
      <w:r>
        <w:rPr>
          <w:rFonts w:hint="eastAsia" w:ascii="仿宋_GB2312" w:hAnsi="宋体" w:eastAsia="仿宋_GB2312" w:cs="宋体"/>
          <w:color w:val="000000" w:themeColor="text1"/>
          <w:kern w:val="0"/>
          <w:sz w:val="32"/>
          <w:szCs w:val="32"/>
        </w:rPr>
        <w:t>于</w:t>
      </w:r>
      <w:r>
        <w:rPr>
          <w:rFonts w:ascii="仿宋_GB2312" w:hAnsi="宋体" w:eastAsia="仿宋_GB2312" w:cs="宋体"/>
          <w:color w:val="000000" w:themeColor="text1"/>
          <w:kern w:val="0"/>
          <w:sz w:val="32"/>
          <w:szCs w:val="32"/>
        </w:rPr>
        <w:t>1987年施行</w:t>
      </w:r>
      <w:r>
        <w:rPr>
          <w:rFonts w:hint="eastAsia" w:ascii="仿宋_GB2312" w:hAnsi="宋体" w:eastAsia="仿宋_GB2312" w:cs="宋体"/>
          <w:color w:val="000000" w:themeColor="text1"/>
          <w:kern w:val="0"/>
          <w:sz w:val="32"/>
          <w:szCs w:val="32"/>
        </w:rPr>
        <w:t>、1999年废止，办法依据性文件未及时更新为《中华人民共和国民法典》。</w:t>
      </w:r>
    </w:p>
    <w:p w14:paraId="5B870C26">
      <w:pPr>
        <w:adjustRightInd w:val="0"/>
        <w:snapToGrid w:val="0"/>
        <w:spacing w:line="360" w:lineRule="auto"/>
        <w:jc w:val="center"/>
        <w:rPr>
          <w:rFonts w:ascii="黑体" w:hAnsi="黑体" w:eastAsia="黑体"/>
          <w:color w:val="000000" w:themeColor="text1"/>
          <w:sz w:val="28"/>
          <w:szCs w:val="28"/>
        </w:rPr>
      </w:pPr>
      <w:r>
        <w:rPr>
          <w:rFonts w:hint="eastAsia" w:ascii="黑体" w:hAnsi="黑体" w:eastAsia="黑体"/>
          <w:color w:val="000000" w:themeColor="text1"/>
          <w:sz w:val="28"/>
          <w:szCs w:val="28"/>
        </w:rPr>
        <w:t>表</w:t>
      </w:r>
      <w:r>
        <w:rPr>
          <w:rFonts w:ascii="黑体" w:hAnsi="黑体" w:eastAsia="黑体"/>
          <w:color w:val="000000" w:themeColor="text1"/>
          <w:sz w:val="28"/>
          <w:szCs w:val="28"/>
        </w:rPr>
        <w:t>8</w:t>
      </w:r>
      <w:r>
        <w:rPr>
          <w:rFonts w:hint="eastAsia" w:ascii="黑体" w:hAnsi="黑体" w:eastAsia="黑体"/>
          <w:color w:val="000000" w:themeColor="text1"/>
          <w:sz w:val="28"/>
          <w:szCs w:val="28"/>
        </w:rPr>
        <w:t>：市机关事务管理中心关键性财务管理制度一览表</w:t>
      </w:r>
    </w:p>
    <w:tbl>
      <w:tblPr>
        <w:tblStyle w:val="14"/>
        <w:tblW w:w="50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87"/>
        <w:gridCol w:w="1025"/>
        <w:gridCol w:w="2702"/>
        <w:gridCol w:w="4115"/>
      </w:tblGrid>
      <w:tr w14:paraId="72EFC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blHeader/>
          <w:jc w:val="center"/>
        </w:trPr>
        <w:tc>
          <w:tcPr>
            <w:tcW w:w="348" w:type="pct"/>
            <w:shd w:val="clear" w:color="auto" w:fill="auto"/>
            <w:vAlign w:val="center"/>
          </w:tcPr>
          <w:p w14:paraId="07620FEB">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序号</w:t>
            </w:r>
          </w:p>
        </w:tc>
        <w:tc>
          <w:tcPr>
            <w:tcW w:w="608" w:type="pct"/>
            <w:shd w:val="clear" w:color="auto" w:fill="auto"/>
            <w:vAlign w:val="center"/>
          </w:tcPr>
          <w:p w14:paraId="60192353">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分类</w:t>
            </w:r>
          </w:p>
        </w:tc>
        <w:tc>
          <w:tcPr>
            <w:tcW w:w="1602" w:type="pct"/>
            <w:shd w:val="clear" w:color="auto" w:fill="auto"/>
            <w:vAlign w:val="center"/>
          </w:tcPr>
          <w:p w14:paraId="28E76F8B">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制度文件名称</w:t>
            </w:r>
          </w:p>
        </w:tc>
        <w:tc>
          <w:tcPr>
            <w:tcW w:w="2440" w:type="pct"/>
            <w:shd w:val="clear" w:color="auto" w:fill="auto"/>
            <w:vAlign w:val="center"/>
          </w:tcPr>
          <w:p w14:paraId="120B5E03">
            <w:pPr>
              <w:widowControl/>
              <w:adjustRightInd w:val="0"/>
              <w:snapToGrid w:val="0"/>
              <w:jc w:val="center"/>
              <w:rPr>
                <w:rFonts w:ascii="宋体" w:hAnsi="宋体" w:cs="宋体"/>
                <w:b/>
                <w:bCs/>
                <w:color w:val="000000" w:themeColor="text1"/>
                <w:kern w:val="0"/>
                <w:sz w:val="20"/>
                <w:szCs w:val="20"/>
              </w:rPr>
            </w:pPr>
            <w:r>
              <w:rPr>
                <w:rFonts w:hint="eastAsia" w:ascii="宋体" w:hAnsi="宋体" w:cs="宋体"/>
                <w:b/>
                <w:bCs/>
                <w:color w:val="000000" w:themeColor="text1"/>
                <w:kern w:val="0"/>
                <w:sz w:val="20"/>
                <w:szCs w:val="20"/>
              </w:rPr>
              <w:t>具体内容</w:t>
            </w:r>
          </w:p>
        </w:tc>
      </w:tr>
      <w:tr w14:paraId="17E46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5284996F">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w:t>
            </w:r>
          </w:p>
        </w:tc>
        <w:tc>
          <w:tcPr>
            <w:tcW w:w="608" w:type="pct"/>
            <w:shd w:val="clear" w:color="auto" w:fill="auto"/>
            <w:vAlign w:val="center"/>
          </w:tcPr>
          <w:p w14:paraId="4AAFAA2E">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预算资金管理办法</w:t>
            </w:r>
          </w:p>
        </w:tc>
        <w:tc>
          <w:tcPr>
            <w:tcW w:w="1602" w:type="pct"/>
            <w:shd w:val="clear" w:color="auto" w:fill="auto"/>
            <w:vAlign w:val="center"/>
          </w:tcPr>
          <w:p w14:paraId="1C2C1B4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《北京市机关事务管理中心预算管理办法》</w:t>
            </w:r>
          </w:p>
        </w:tc>
        <w:tc>
          <w:tcPr>
            <w:tcW w:w="2440" w:type="pct"/>
            <w:shd w:val="clear" w:color="auto" w:fill="auto"/>
            <w:vAlign w:val="center"/>
          </w:tcPr>
          <w:p w14:paraId="3BF58649">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明确了预算管理职责、预算收支范围、预算编制、预算执行、预算调整等方面内容。</w:t>
            </w:r>
          </w:p>
        </w:tc>
      </w:tr>
      <w:tr w14:paraId="1B2A7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6" w:hRule="atLeast"/>
          <w:jc w:val="center"/>
        </w:trPr>
        <w:tc>
          <w:tcPr>
            <w:tcW w:w="348" w:type="pct"/>
            <w:shd w:val="clear" w:color="auto" w:fill="auto"/>
            <w:noWrap/>
            <w:vAlign w:val="center"/>
          </w:tcPr>
          <w:p w14:paraId="0CBDA508">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w:t>
            </w:r>
          </w:p>
        </w:tc>
        <w:tc>
          <w:tcPr>
            <w:tcW w:w="608" w:type="pct"/>
            <w:shd w:val="clear" w:color="auto" w:fill="auto"/>
            <w:vAlign w:val="center"/>
          </w:tcPr>
          <w:p w14:paraId="79C8B294">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预算绩效管理办法（含绩效运行监控）</w:t>
            </w:r>
          </w:p>
        </w:tc>
        <w:tc>
          <w:tcPr>
            <w:tcW w:w="1602" w:type="pct"/>
            <w:shd w:val="clear" w:color="auto" w:fill="auto"/>
            <w:vAlign w:val="center"/>
          </w:tcPr>
          <w:p w14:paraId="33650AC9">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《北京市机关事务管理中心预算绩效管理办法》</w:t>
            </w:r>
          </w:p>
        </w:tc>
        <w:tc>
          <w:tcPr>
            <w:tcW w:w="2440" w:type="pct"/>
            <w:shd w:val="clear" w:color="auto" w:fill="auto"/>
            <w:vAlign w:val="center"/>
          </w:tcPr>
          <w:p w14:paraId="4AEF879F">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明确了预算绩效管理的职责分工、预算编制管理、预算执行管理、决算阶段等方面内容。</w:t>
            </w:r>
          </w:p>
        </w:tc>
      </w:tr>
      <w:tr w14:paraId="35093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2D5AD8D3">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w:t>
            </w:r>
          </w:p>
        </w:tc>
        <w:tc>
          <w:tcPr>
            <w:tcW w:w="608" w:type="pct"/>
            <w:vMerge w:val="restart"/>
            <w:shd w:val="clear" w:color="auto" w:fill="auto"/>
            <w:vAlign w:val="center"/>
          </w:tcPr>
          <w:p w14:paraId="2AA6AD3C">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资产管理办法</w:t>
            </w:r>
          </w:p>
        </w:tc>
        <w:tc>
          <w:tcPr>
            <w:tcW w:w="1602" w:type="pct"/>
            <w:shd w:val="clear" w:color="auto" w:fill="auto"/>
            <w:vAlign w:val="center"/>
          </w:tcPr>
          <w:p w14:paraId="56CA082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《北京市机关事务管理中心固定资产管理办法》</w:t>
            </w:r>
          </w:p>
        </w:tc>
        <w:tc>
          <w:tcPr>
            <w:tcW w:w="2440" w:type="pct"/>
            <w:shd w:val="clear" w:color="auto" w:fill="auto"/>
            <w:vAlign w:val="center"/>
          </w:tcPr>
          <w:p w14:paraId="67AA63EC">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明确了管理职责、资产配置、资产使用、资产处置等方面内容。</w:t>
            </w:r>
          </w:p>
        </w:tc>
      </w:tr>
      <w:tr w14:paraId="3C39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6E45F99A">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w:t>
            </w:r>
          </w:p>
        </w:tc>
        <w:tc>
          <w:tcPr>
            <w:tcW w:w="608" w:type="pct"/>
            <w:vMerge w:val="continue"/>
            <w:vAlign w:val="center"/>
          </w:tcPr>
          <w:p w14:paraId="2CA69B73">
            <w:pPr>
              <w:widowControl/>
              <w:adjustRightInd w:val="0"/>
              <w:snapToGrid w:val="0"/>
              <w:jc w:val="left"/>
              <w:rPr>
                <w:rFonts w:ascii="宋体" w:hAnsi="宋体" w:cs="宋体"/>
                <w:color w:val="000000" w:themeColor="text1"/>
                <w:kern w:val="0"/>
                <w:sz w:val="20"/>
                <w:szCs w:val="20"/>
              </w:rPr>
            </w:pPr>
          </w:p>
        </w:tc>
        <w:tc>
          <w:tcPr>
            <w:tcW w:w="1602" w:type="pct"/>
            <w:shd w:val="clear" w:color="auto" w:fill="auto"/>
            <w:vAlign w:val="center"/>
          </w:tcPr>
          <w:p w14:paraId="6B17CDF1">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《北京市机关事务管理中心无形资产管理办法》</w:t>
            </w:r>
          </w:p>
        </w:tc>
        <w:tc>
          <w:tcPr>
            <w:tcW w:w="2440" w:type="pct"/>
            <w:shd w:val="clear" w:color="auto" w:fill="auto"/>
            <w:vAlign w:val="center"/>
          </w:tcPr>
          <w:p w14:paraId="436ED2C2">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明确了职责分工、无形资产形成与取得、无形资产使用与处置等方面内容。</w:t>
            </w:r>
          </w:p>
        </w:tc>
      </w:tr>
      <w:tr w14:paraId="360D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4997FBE4">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5</w:t>
            </w:r>
          </w:p>
        </w:tc>
        <w:tc>
          <w:tcPr>
            <w:tcW w:w="608" w:type="pct"/>
            <w:vMerge w:val="restart"/>
            <w:shd w:val="clear" w:color="auto" w:fill="auto"/>
            <w:vAlign w:val="center"/>
          </w:tcPr>
          <w:p w14:paraId="5D7320DD">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内部财务管理制度</w:t>
            </w:r>
          </w:p>
        </w:tc>
        <w:tc>
          <w:tcPr>
            <w:tcW w:w="1602" w:type="pct"/>
            <w:shd w:val="clear" w:color="auto" w:fill="auto"/>
            <w:vAlign w:val="center"/>
          </w:tcPr>
          <w:p w14:paraId="188665AD">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《北京市机关事务管理中心内部审计工作办法》</w:t>
            </w:r>
          </w:p>
        </w:tc>
        <w:tc>
          <w:tcPr>
            <w:tcW w:w="2440" w:type="pct"/>
            <w:shd w:val="clear" w:color="auto" w:fill="auto"/>
            <w:vAlign w:val="center"/>
          </w:tcPr>
          <w:p w14:paraId="0A6ED9EF">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对于内部审计工作职责、审计事项、基本流程及报审资料进行了规定。</w:t>
            </w:r>
          </w:p>
        </w:tc>
      </w:tr>
      <w:tr w14:paraId="7E98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1FDEEF72">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6</w:t>
            </w:r>
          </w:p>
        </w:tc>
        <w:tc>
          <w:tcPr>
            <w:tcW w:w="608" w:type="pct"/>
            <w:vMerge w:val="continue"/>
            <w:shd w:val="clear" w:color="auto" w:fill="auto"/>
            <w:vAlign w:val="center"/>
          </w:tcPr>
          <w:p w14:paraId="52C35E4D">
            <w:pPr>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257056C0">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《北京市机关事务管理中心内部控制评价与监督办法》</w:t>
            </w:r>
          </w:p>
        </w:tc>
        <w:tc>
          <w:tcPr>
            <w:tcW w:w="2440" w:type="pct"/>
            <w:shd w:val="clear" w:color="auto" w:fill="auto"/>
            <w:vAlign w:val="center"/>
          </w:tcPr>
          <w:p w14:paraId="04BC9C87">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对职责分工、内部监督内容、内部监督的频率、内部监督的程序与方法等方面进行了规定。</w:t>
            </w:r>
          </w:p>
        </w:tc>
      </w:tr>
      <w:tr w14:paraId="334BD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6525923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7</w:t>
            </w:r>
          </w:p>
        </w:tc>
        <w:tc>
          <w:tcPr>
            <w:tcW w:w="608" w:type="pct"/>
            <w:vMerge w:val="continue"/>
            <w:shd w:val="clear" w:color="auto" w:fill="auto"/>
            <w:vAlign w:val="center"/>
          </w:tcPr>
          <w:p w14:paraId="66E76F1B">
            <w:pPr>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13FDFE7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《北京市机关事务管理中心风险评估管理办法》</w:t>
            </w:r>
          </w:p>
        </w:tc>
        <w:tc>
          <w:tcPr>
            <w:tcW w:w="2440" w:type="pct"/>
            <w:shd w:val="clear" w:color="auto" w:fill="auto"/>
            <w:vAlign w:val="center"/>
          </w:tcPr>
          <w:p w14:paraId="32E7182F">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对于风险评估原则、风险评估、评估内容、评估程序进行了规定。</w:t>
            </w:r>
          </w:p>
        </w:tc>
      </w:tr>
      <w:tr w14:paraId="639DB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432A1F43">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8</w:t>
            </w:r>
          </w:p>
        </w:tc>
        <w:tc>
          <w:tcPr>
            <w:tcW w:w="608" w:type="pct"/>
            <w:vMerge w:val="continue"/>
            <w:shd w:val="clear" w:color="auto" w:fill="auto"/>
            <w:vAlign w:val="center"/>
          </w:tcPr>
          <w:p w14:paraId="5F278E6F">
            <w:pPr>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437C09D5">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《北京市机关事务管理中心部门评审管理办法》</w:t>
            </w:r>
          </w:p>
        </w:tc>
        <w:tc>
          <w:tcPr>
            <w:tcW w:w="2440" w:type="pct"/>
            <w:shd w:val="clear" w:color="auto" w:fill="auto"/>
            <w:vAlign w:val="center"/>
          </w:tcPr>
          <w:p w14:paraId="17340DA8">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明确了部门评审的工作职责、工作流程等方面内容。</w:t>
            </w:r>
          </w:p>
        </w:tc>
      </w:tr>
      <w:tr w14:paraId="29F67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3875FBF3">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9</w:t>
            </w:r>
          </w:p>
        </w:tc>
        <w:tc>
          <w:tcPr>
            <w:tcW w:w="608" w:type="pct"/>
            <w:vMerge w:val="continue"/>
            <w:shd w:val="clear" w:color="auto" w:fill="auto"/>
            <w:vAlign w:val="center"/>
          </w:tcPr>
          <w:p w14:paraId="752821EC">
            <w:pPr>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405120F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《北京市机关事务管理中心差旅费管理办法》</w:t>
            </w:r>
          </w:p>
        </w:tc>
        <w:tc>
          <w:tcPr>
            <w:tcW w:w="2440" w:type="pct"/>
            <w:shd w:val="clear" w:color="auto" w:fill="auto"/>
            <w:vAlign w:val="center"/>
          </w:tcPr>
          <w:p w14:paraId="16C4E614">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明确了城市间交通费、住宿费、伙食补助费、市内交通费等费用报销标准。</w:t>
            </w:r>
          </w:p>
        </w:tc>
      </w:tr>
      <w:tr w14:paraId="6E040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44ABC885">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10</w:t>
            </w:r>
          </w:p>
        </w:tc>
        <w:tc>
          <w:tcPr>
            <w:tcW w:w="608" w:type="pct"/>
            <w:vMerge w:val="continue"/>
            <w:shd w:val="clear" w:color="auto" w:fill="auto"/>
            <w:vAlign w:val="center"/>
          </w:tcPr>
          <w:p w14:paraId="591A266E">
            <w:pPr>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4CAB64AB">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《北京市机关事务管理中心采购管理办法》</w:t>
            </w:r>
          </w:p>
        </w:tc>
        <w:tc>
          <w:tcPr>
            <w:tcW w:w="2440" w:type="pct"/>
            <w:shd w:val="clear" w:color="auto" w:fill="auto"/>
            <w:vAlign w:val="center"/>
          </w:tcPr>
          <w:p w14:paraId="3D48A2AE">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明确了管理职责、采购方式、采购工作程序等方面内容。</w:t>
            </w:r>
          </w:p>
        </w:tc>
      </w:tr>
      <w:tr w14:paraId="78E5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348" w:type="pct"/>
            <w:shd w:val="clear" w:color="auto" w:fill="auto"/>
            <w:noWrap/>
            <w:vAlign w:val="center"/>
          </w:tcPr>
          <w:p w14:paraId="5BE2FA0A">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11</w:t>
            </w:r>
          </w:p>
        </w:tc>
        <w:tc>
          <w:tcPr>
            <w:tcW w:w="608" w:type="pct"/>
            <w:vMerge w:val="continue"/>
            <w:shd w:val="clear" w:color="auto" w:fill="auto"/>
            <w:vAlign w:val="center"/>
          </w:tcPr>
          <w:p w14:paraId="20120D5B">
            <w:pPr>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68940A3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《北京市机关事务管理中心采购监督办法（试行）》</w:t>
            </w:r>
          </w:p>
        </w:tc>
        <w:tc>
          <w:tcPr>
            <w:tcW w:w="2440" w:type="pct"/>
            <w:shd w:val="clear" w:color="auto" w:fill="auto"/>
            <w:vAlign w:val="center"/>
          </w:tcPr>
          <w:p w14:paraId="46840DFA">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明确了采购原则、适用范围、组织机构、采购审核内容等方面内容。</w:t>
            </w:r>
          </w:p>
        </w:tc>
      </w:tr>
      <w:tr w14:paraId="6D58E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348" w:type="pct"/>
            <w:shd w:val="clear" w:color="auto" w:fill="auto"/>
            <w:noWrap/>
            <w:vAlign w:val="center"/>
          </w:tcPr>
          <w:p w14:paraId="44C6D4C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12</w:t>
            </w:r>
          </w:p>
        </w:tc>
        <w:tc>
          <w:tcPr>
            <w:tcW w:w="608" w:type="pct"/>
            <w:vMerge w:val="continue"/>
            <w:shd w:val="clear" w:color="auto" w:fill="auto"/>
            <w:vAlign w:val="center"/>
          </w:tcPr>
          <w:p w14:paraId="00DDA375">
            <w:pPr>
              <w:widowControl/>
              <w:adjustRightInd w:val="0"/>
              <w:snapToGrid w:val="0"/>
              <w:jc w:val="center"/>
              <w:rPr>
                <w:rFonts w:ascii="宋体" w:hAnsi="宋体" w:cs="宋体"/>
                <w:color w:val="000000" w:themeColor="text1"/>
                <w:kern w:val="0"/>
                <w:sz w:val="20"/>
                <w:szCs w:val="20"/>
              </w:rPr>
            </w:pPr>
          </w:p>
        </w:tc>
        <w:tc>
          <w:tcPr>
            <w:tcW w:w="1602" w:type="pct"/>
            <w:shd w:val="clear" w:color="auto" w:fill="auto"/>
            <w:vAlign w:val="center"/>
          </w:tcPr>
          <w:p w14:paraId="580DCF4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《北京市机关事务管理中心办公用品管理办法》</w:t>
            </w:r>
          </w:p>
        </w:tc>
        <w:tc>
          <w:tcPr>
            <w:tcW w:w="2440" w:type="pct"/>
            <w:shd w:val="clear" w:color="auto" w:fill="auto"/>
            <w:vAlign w:val="center"/>
          </w:tcPr>
          <w:p w14:paraId="28B26D91">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明确了职责分工、办公用品标准及经费管理、办公用品的申领、采购及结算、办公用品的使用等方面内容。</w:t>
            </w:r>
          </w:p>
        </w:tc>
      </w:tr>
      <w:tr w14:paraId="3360E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28147D99">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13</w:t>
            </w:r>
          </w:p>
        </w:tc>
        <w:tc>
          <w:tcPr>
            <w:tcW w:w="608" w:type="pct"/>
            <w:vMerge w:val="continue"/>
            <w:shd w:val="clear" w:color="auto" w:fill="auto"/>
            <w:vAlign w:val="center"/>
          </w:tcPr>
          <w:p w14:paraId="189F2856">
            <w:pPr>
              <w:widowControl/>
              <w:adjustRightInd w:val="0"/>
              <w:snapToGrid w:val="0"/>
              <w:jc w:val="left"/>
              <w:rPr>
                <w:rFonts w:ascii="宋体" w:hAnsi="宋体" w:cs="宋体"/>
                <w:color w:val="000000" w:themeColor="text1"/>
                <w:kern w:val="0"/>
                <w:sz w:val="20"/>
                <w:szCs w:val="20"/>
              </w:rPr>
            </w:pPr>
          </w:p>
        </w:tc>
        <w:tc>
          <w:tcPr>
            <w:tcW w:w="1602" w:type="pct"/>
            <w:shd w:val="clear" w:color="auto" w:fill="auto"/>
            <w:vAlign w:val="center"/>
          </w:tcPr>
          <w:p w14:paraId="53E85B8D">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《北京市机关事务管理中心机关编内工作人员办公设备及物品配备标准》</w:t>
            </w:r>
          </w:p>
        </w:tc>
        <w:tc>
          <w:tcPr>
            <w:tcW w:w="2440" w:type="pct"/>
            <w:shd w:val="clear" w:color="auto" w:fill="auto"/>
            <w:vAlign w:val="center"/>
          </w:tcPr>
          <w:p w14:paraId="45AB8B5E">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明确了各个职级机关编内工作人员办公设备及物品配备标准等方面内容。</w:t>
            </w:r>
          </w:p>
        </w:tc>
      </w:tr>
      <w:tr w14:paraId="2D17D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3" w:hRule="atLeast"/>
          <w:jc w:val="center"/>
        </w:trPr>
        <w:tc>
          <w:tcPr>
            <w:tcW w:w="348" w:type="pct"/>
            <w:shd w:val="clear" w:color="auto" w:fill="auto"/>
            <w:noWrap/>
            <w:vAlign w:val="center"/>
          </w:tcPr>
          <w:p w14:paraId="31C639A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14</w:t>
            </w:r>
          </w:p>
        </w:tc>
        <w:tc>
          <w:tcPr>
            <w:tcW w:w="608" w:type="pct"/>
            <w:vMerge w:val="continue"/>
            <w:shd w:val="clear" w:color="auto" w:fill="auto"/>
            <w:vAlign w:val="center"/>
          </w:tcPr>
          <w:p w14:paraId="5AF38C40">
            <w:pPr>
              <w:widowControl/>
              <w:adjustRightInd w:val="0"/>
              <w:snapToGrid w:val="0"/>
              <w:jc w:val="left"/>
              <w:rPr>
                <w:rFonts w:ascii="宋体" w:hAnsi="宋体" w:cs="宋体"/>
                <w:color w:val="000000" w:themeColor="text1"/>
                <w:kern w:val="0"/>
                <w:sz w:val="20"/>
                <w:szCs w:val="20"/>
              </w:rPr>
            </w:pPr>
          </w:p>
        </w:tc>
        <w:tc>
          <w:tcPr>
            <w:tcW w:w="1602" w:type="pct"/>
            <w:shd w:val="clear" w:color="auto" w:fill="auto"/>
            <w:vAlign w:val="center"/>
          </w:tcPr>
          <w:p w14:paraId="396C3F9F">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《北京市机关事务管理中心合同管理办法》</w:t>
            </w:r>
          </w:p>
        </w:tc>
        <w:tc>
          <w:tcPr>
            <w:tcW w:w="2440" w:type="pct"/>
            <w:shd w:val="clear" w:color="auto" w:fill="auto"/>
            <w:vAlign w:val="center"/>
          </w:tcPr>
          <w:p w14:paraId="44A86E8F">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明确了合同的管理职责、合同的签订、合同的履行、合同纠纷的处理等方面内容。</w:t>
            </w:r>
          </w:p>
        </w:tc>
      </w:tr>
      <w:tr w14:paraId="14860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73D1A574">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15</w:t>
            </w:r>
          </w:p>
        </w:tc>
        <w:tc>
          <w:tcPr>
            <w:tcW w:w="608" w:type="pct"/>
            <w:vMerge w:val="restart"/>
            <w:shd w:val="clear" w:color="auto" w:fill="auto"/>
            <w:vAlign w:val="center"/>
          </w:tcPr>
          <w:p w14:paraId="42431E69">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会计核算制度</w:t>
            </w:r>
          </w:p>
        </w:tc>
        <w:tc>
          <w:tcPr>
            <w:tcW w:w="1602" w:type="pct"/>
            <w:shd w:val="clear" w:color="000000" w:fill="FFFFFF"/>
            <w:vAlign w:val="center"/>
          </w:tcPr>
          <w:p w14:paraId="06EC9936">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《北京市机关事务管理中心财务管理办法》</w:t>
            </w:r>
          </w:p>
        </w:tc>
        <w:tc>
          <w:tcPr>
            <w:tcW w:w="2440" w:type="pct"/>
            <w:shd w:val="clear" w:color="000000" w:fill="FFFFFF"/>
            <w:vAlign w:val="center"/>
          </w:tcPr>
          <w:p w14:paraId="427A9EB3">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明确了会计核算管理、会计凭证的编制、会计记账管理、财务报表和预算会计报表等方面内容。</w:t>
            </w:r>
          </w:p>
        </w:tc>
      </w:tr>
      <w:tr w14:paraId="2F105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1C8BD339">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16</w:t>
            </w:r>
          </w:p>
        </w:tc>
        <w:tc>
          <w:tcPr>
            <w:tcW w:w="608" w:type="pct"/>
            <w:vMerge w:val="continue"/>
            <w:vAlign w:val="center"/>
          </w:tcPr>
          <w:p w14:paraId="39829977">
            <w:pPr>
              <w:widowControl/>
              <w:adjustRightInd w:val="0"/>
              <w:snapToGrid w:val="0"/>
              <w:jc w:val="left"/>
              <w:rPr>
                <w:rFonts w:ascii="宋体" w:hAnsi="宋体" w:cs="宋体"/>
                <w:color w:val="000000" w:themeColor="text1"/>
                <w:kern w:val="0"/>
                <w:sz w:val="20"/>
                <w:szCs w:val="20"/>
              </w:rPr>
            </w:pPr>
          </w:p>
        </w:tc>
        <w:tc>
          <w:tcPr>
            <w:tcW w:w="1602" w:type="pct"/>
            <w:shd w:val="clear" w:color="000000" w:fill="FFFFFF"/>
            <w:vAlign w:val="center"/>
          </w:tcPr>
          <w:p w14:paraId="7C31A234">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《北京市机关事务管理中心银行账户管理规定》</w:t>
            </w:r>
          </w:p>
        </w:tc>
        <w:tc>
          <w:tcPr>
            <w:tcW w:w="2440" w:type="pct"/>
            <w:shd w:val="clear" w:color="000000" w:fill="FFFFFF"/>
            <w:vAlign w:val="center"/>
          </w:tcPr>
          <w:p w14:paraId="12BDF1BF">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明确了账户开立、账户使用与管理、账户变更与撤销等方面内容。</w:t>
            </w:r>
          </w:p>
        </w:tc>
      </w:tr>
      <w:tr w14:paraId="2B25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6E1118BC">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17</w:t>
            </w:r>
          </w:p>
        </w:tc>
        <w:tc>
          <w:tcPr>
            <w:tcW w:w="608" w:type="pct"/>
            <w:vMerge w:val="continue"/>
            <w:vAlign w:val="center"/>
          </w:tcPr>
          <w:p w14:paraId="6D07DA09">
            <w:pPr>
              <w:widowControl/>
              <w:adjustRightInd w:val="0"/>
              <w:snapToGrid w:val="0"/>
              <w:jc w:val="left"/>
              <w:rPr>
                <w:rFonts w:ascii="宋体" w:hAnsi="宋体" w:cs="宋体"/>
                <w:color w:val="000000" w:themeColor="text1"/>
                <w:kern w:val="0"/>
                <w:sz w:val="20"/>
                <w:szCs w:val="20"/>
              </w:rPr>
            </w:pPr>
          </w:p>
        </w:tc>
        <w:tc>
          <w:tcPr>
            <w:tcW w:w="1602" w:type="pct"/>
            <w:shd w:val="clear" w:color="000000" w:fill="FFFFFF"/>
            <w:vAlign w:val="center"/>
          </w:tcPr>
          <w:p w14:paraId="5A886BA4">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《北京市机关事务管理中心现金提取和使用管理办法》</w:t>
            </w:r>
          </w:p>
        </w:tc>
        <w:tc>
          <w:tcPr>
            <w:tcW w:w="2440" w:type="pct"/>
            <w:shd w:val="clear" w:color="000000" w:fill="FFFFFF"/>
            <w:vAlign w:val="center"/>
          </w:tcPr>
          <w:p w14:paraId="6D217A15">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明确了现金提取和使用、大额现金提取和使用、现金管理等方面内容。</w:t>
            </w:r>
          </w:p>
        </w:tc>
      </w:tr>
      <w:tr w14:paraId="302A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7E788777">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18</w:t>
            </w:r>
          </w:p>
        </w:tc>
        <w:tc>
          <w:tcPr>
            <w:tcW w:w="608" w:type="pct"/>
            <w:vMerge w:val="continue"/>
            <w:vAlign w:val="center"/>
          </w:tcPr>
          <w:p w14:paraId="54CAD187">
            <w:pPr>
              <w:widowControl/>
              <w:adjustRightInd w:val="0"/>
              <w:snapToGrid w:val="0"/>
              <w:jc w:val="left"/>
              <w:rPr>
                <w:rFonts w:ascii="宋体" w:hAnsi="宋体" w:cs="宋体"/>
                <w:color w:val="000000" w:themeColor="text1"/>
                <w:kern w:val="0"/>
                <w:sz w:val="20"/>
                <w:szCs w:val="20"/>
              </w:rPr>
            </w:pPr>
          </w:p>
        </w:tc>
        <w:tc>
          <w:tcPr>
            <w:tcW w:w="1602" w:type="pct"/>
            <w:shd w:val="clear" w:color="000000" w:fill="FFFFFF"/>
            <w:vAlign w:val="center"/>
          </w:tcPr>
          <w:p w14:paraId="6036F872">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《北京市机关事务管理中心非税收入管理办法》</w:t>
            </w:r>
          </w:p>
        </w:tc>
        <w:tc>
          <w:tcPr>
            <w:tcW w:w="2440" w:type="pct"/>
            <w:shd w:val="clear" w:color="000000" w:fill="FFFFFF"/>
            <w:vAlign w:val="center"/>
          </w:tcPr>
          <w:p w14:paraId="3D39AC52">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明确了非税收入管理的职责分工、征收管理、票据管理、监督管理等方面内容。</w:t>
            </w:r>
          </w:p>
        </w:tc>
      </w:tr>
      <w:tr w14:paraId="42074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48" w:type="pct"/>
            <w:shd w:val="clear" w:color="auto" w:fill="auto"/>
            <w:noWrap/>
            <w:vAlign w:val="center"/>
          </w:tcPr>
          <w:p w14:paraId="67C6DFE1">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19</w:t>
            </w:r>
          </w:p>
        </w:tc>
        <w:tc>
          <w:tcPr>
            <w:tcW w:w="608" w:type="pct"/>
            <w:vMerge w:val="continue"/>
            <w:vAlign w:val="center"/>
          </w:tcPr>
          <w:p w14:paraId="60E04D1D">
            <w:pPr>
              <w:widowControl/>
              <w:adjustRightInd w:val="0"/>
              <w:snapToGrid w:val="0"/>
              <w:jc w:val="left"/>
              <w:rPr>
                <w:rFonts w:ascii="宋体" w:hAnsi="宋体" w:cs="宋体"/>
                <w:color w:val="000000" w:themeColor="text1"/>
                <w:kern w:val="0"/>
                <w:sz w:val="20"/>
                <w:szCs w:val="20"/>
              </w:rPr>
            </w:pPr>
          </w:p>
        </w:tc>
        <w:tc>
          <w:tcPr>
            <w:tcW w:w="1602" w:type="pct"/>
            <w:shd w:val="clear" w:color="000000" w:fill="FFFFFF"/>
            <w:vAlign w:val="center"/>
          </w:tcPr>
          <w:p w14:paraId="61CD234F">
            <w:pPr>
              <w:widowControl/>
              <w:adjustRightInd w:val="0"/>
              <w:snapToGrid w:val="0"/>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《北京市机关事务管理中心经费支出和报销管理办法》</w:t>
            </w:r>
          </w:p>
        </w:tc>
        <w:tc>
          <w:tcPr>
            <w:tcW w:w="2440" w:type="pct"/>
            <w:shd w:val="clear" w:color="000000" w:fill="FFFFFF"/>
            <w:vAlign w:val="center"/>
          </w:tcPr>
          <w:p w14:paraId="242DBA26">
            <w:pPr>
              <w:widowControl/>
              <w:adjustRightInd w:val="0"/>
              <w:snapToGrid w:val="0"/>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明确了审批权限、资金支付、票据报销、财务审核等方面内容。</w:t>
            </w:r>
          </w:p>
        </w:tc>
      </w:tr>
    </w:tbl>
    <w:p w14:paraId="6CBD01FE">
      <w:pPr>
        <w:adjustRightInd w:val="0"/>
        <w:snapToGrid w:val="0"/>
        <w:spacing w:line="360" w:lineRule="auto"/>
        <w:rPr>
          <w:rFonts w:ascii="仿宋_GB2312" w:hAnsi="宋体" w:eastAsia="仿宋_GB2312" w:cs="宋体"/>
          <w:color w:val="000000" w:themeColor="text1"/>
          <w:kern w:val="0"/>
          <w:sz w:val="20"/>
          <w:szCs w:val="20"/>
        </w:rPr>
      </w:pPr>
    </w:p>
    <w:p w14:paraId="42464873">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2.资金使用合</w:t>
      </w:r>
      <w:r>
        <w:rPr>
          <w:rFonts w:hint="eastAsia" w:ascii="仿宋_GB2312" w:hAnsi="宋体" w:eastAsia="仿宋_GB2312" w:cs="宋体"/>
          <w:color w:val="000000" w:themeColor="text1"/>
          <w:kern w:val="0"/>
          <w:sz w:val="32"/>
          <w:szCs w:val="32"/>
        </w:rPr>
        <w:t>规性</w:t>
      </w:r>
      <w:r>
        <w:rPr>
          <w:rFonts w:ascii="仿宋_GB2312" w:hAnsi="宋体" w:eastAsia="仿宋_GB2312" w:cs="宋体"/>
          <w:color w:val="000000" w:themeColor="text1"/>
          <w:kern w:val="0"/>
          <w:sz w:val="32"/>
          <w:szCs w:val="32"/>
        </w:rPr>
        <w:t>和安全性</w:t>
      </w:r>
    </w:p>
    <w:p w14:paraId="59B594CD">
      <w:pPr>
        <w:adjustRightInd w:val="0"/>
        <w:snapToGrid w:val="0"/>
        <w:spacing w:line="360" w:lineRule="auto"/>
        <w:ind w:firstLine="640" w:firstLineChars="200"/>
        <w:rPr>
          <w:rFonts w:ascii="仿宋_GB2312" w:eastAsia="仿宋_GB2312" w:cs="仿宋_GB2312"/>
          <w:color w:val="000000" w:themeColor="text1"/>
          <w:sz w:val="32"/>
          <w:szCs w:val="32"/>
        </w:rPr>
      </w:pPr>
      <w:r>
        <w:rPr>
          <w:rFonts w:hint="eastAsia" w:ascii="仿宋_GB2312" w:hAnsi="宋体" w:eastAsia="仿宋_GB2312" w:cs="宋体"/>
          <w:color w:val="000000" w:themeColor="text1"/>
          <w:kern w:val="0"/>
          <w:sz w:val="32"/>
          <w:szCs w:val="32"/>
        </w:rPr>
        <w:t>市机关事务管理中心</w:t>
      </w:r>
      <w:r>
        <w:rPr>
          <w:rFonts w:ascii="仿宋_GB2312" w:hAnsi="宋体" w:eastAsia="仿宋_GB2312" w:cs="宋体"/>
          <w:color w:val="000000" w:themeColor="text1"/>
          <w:kern w:val="0"/>
          <w:sz w:val="32"/>
          <w:szCs w:val="32"/>
        </w:rPr>
        <w:t>202</w:t>
      </w:r>
      <w:r>
        <w:rPr>
          <w:rFonts w:hint="eastAsia" w:ascii="仿宋_GB2312" w:hAnsi="宋体" w:eastAsia="仿宋_GB2312" w:cs="宋体"/>
          <w:color w:val="000000" w:themeColor="text1"/>
          <w:kern w:val="0"/>
          <w:sz w:val="32"/>
          <w:szCs w:val="32"/>
        </w:rPr>
        <w:t>4</w:t>
      </w:r>
      <w:r>
        <w:rPr>
          <w:rFonts w:ascii="仿宋_GB2312" w:hAnsi="宋体" w:eastAsia="仿宋_GB2312" w:cs="宋体"/>
          <w:color w:val="000000" w:themeColor="text1"/>
          <w:kern w:val="0"/>
          <w:sz w:val="32"/>
          <w:szCs w:val="32"/>
        </w:rPr>
        <w:t>年</w:t>
      </w:r>
      <w:r>
        <w:rPr>
          <w:rFonts w:hint="eastAsia" w:ascii="仿宋_GB2312" w:hAnsi="宋体" w:eastAsia="仿宋_GB2312" w:cs="宋体"/>
          <w:color w:val="000000" w:themeColor="text1"/>
          <w:kern w:val="0"/>
          <w:sz w:val="32"/>
          <w:szCs w:val="32"/>
        </w:rPr>
        <w:t>内部工作的开展均参照国家、北京市及单位内部相关财务制度执行，未出现违反财务管理制度和有关专项资金管理办法的情况。资金拨付均履行了相应的审批手续，大额资金使用均经过“三重一大”事项决策程序，一般经济事项呈报处长、主管主任、主任办公会等逐级报批，特殊经济事项由经办处室逐级报批，资金拨付履行完整的审批程序和手续。项目的重大开支经过评估论证，每年执行采购流程选取专业评审机构，对当年纳入部门评审项目开展评审，</w:t>
      </w:r>
      <w:r>
        <w:rPr>
          <w:rFonts w:hint="eastAsia" w:ascii="仿宋_GB2312" w:hAnsi="宋体" w:eastAsia="仿宋_GB2312"/>
          <w:color w:val="000000" w:themeColor="text1"/>
          <w:sz w:val="32"/>
          <w:szCs w:val="32"/>
        </w:rPr>
        <w:t>加强部门预算项目预算资金管理。</w:t>
      </w:r>
      <w:r>
        <w:rPr>
          <w:rFonts w:hint="eastAsia" w:ascii="仿宋_GB2312" w:hAnsi="宋体" w:eastAsia="仿宋_GB2312" w:cs="宋体"/>
          <w:color w:val="000000" w:themeColor="text1"/>
          <w:kern w:val="0"/>
          <w:sz w:val="32"/>
          <w:szCs w:val="32"/>
        </w:rPr>
        <w:t>资金支出均符合部门预算批复的用途，与年度重点工作方向相一致，各资金根据年度用款计划及合同约定支出，不存在截留、挤占、挪用情况。资金使用符合政府采购的程序和流程，由</w:t>
      </w:r>
      <w:r>
        <w:rPr>
          <w:rFonts w:hint="eastAsia" w:ascii="仿宋_GB2312" w:hAnsi="宋体" w:eastAsia="仿宋_GB2312"/>
          <w:color w:val="000000" w:themeColor="text1"/>
          <w:sz w:val="32"/>
          <w:szCs w:val="32"/>
        </w:rPr>
        <w:t>各处室在实施采购程序之前以请示件的形式提出采购申请，经党委会审议通过、报主任办公会审定后执行采购。</w:t>
      </w:r>
      <w:r>
        <w:rPr>
          <w:rFonts w:hint="eastAsia" w:ascii="仿宋_GB2312" w:hAnsi="宋体" w:eastAsia="仿宋_GB2312" w:cs="宋体"/>
          <w:color w:val="000000" w:themeColor="text1"/>
          <w:kern w:val="0"/>
          <w:sz w:val="32"/>
          <w:szCs w:val="32"/>
        </w:rPr>
        <w:t>政府采购目录的事项均按照</w:t>
      </w:r>
      <w:r>
        <w:rPr>
          <w:rFonts w:hint="eastAsia" w:ascii="仿宋_GB2312" w:eastAsia="仿宋_GB2312"/>
          <w:color w:val="000000" w:themeColor="text1"/>
          <w:sz w:val="32"/>
          <w:szCs w:val="32"/>
        </w:rPr>
        <w:t>《中华人民共和国政府采购法》《中华人民共和国招标投标法》《政府采购货物和服务招标投标管理办法》</w:t>
      </w:r>
      <w:r>
        <w:rPr>
          <w:rFonts w:hint="eastAsia" w:ascii="仿宋_GB2312" w:hAnsi="宋体" w:eastAsia="仿宋_GB2312" w:cs="宋体"/>
          <w:color w:val="000000" w:themeColor="text1"/>
          <w:kern w:val="0"/>
          <w:sz w:val="32"/>
          <w:szCs w:val="32"/>
        </w:rPr>
        <w:t>执行，相关公开招标、竞争性磋商、三方询价等工作流程均履行了必要的政府采购程序，</w:t>
      </w:r>
      <w:r>
        <w:rPr>
          <w:rFonts w:hint="eastAsia" w:ascii="仿宋_GB2312" w:eastAsia="仿宋_GB2312"/>
          <w:color w:val="000000" w:themeColor="text1"/>
          <w:sz w:val="32"/>
          <w:szCs w:val="32"/>
        </w:rPr>
        <w:t>保证了项目质量，提高了资金使用效益。</w:t>
      </w:r>
      <w:r>
        <w:rPr>
          <w:rFonts w:hint="eastAsia" w:ascii="仿宋_GB2312" w:hAnsi="宋体" w:eastAsia="仿宋_GB2312" w:cs="宋体"/>
          <w:color w:val="000000" w:themeColor="text1"/>
          <w:kern w:val="0"/>
          <w:sz w:val="32"/>
          <w:szCs w:val="32"/>
        </w:rPr>
        <w:t>市机关事务管理中心按照《北京市机关事务管理中心公务卡管理办法》相关要求，</w:t>
      </w:r>
      <w:r>
        <w:rPr>
          <w:rFonts w:hint="eastAsia" w:ascii="仿宋_GB2312" w:eastAsia="仿宋_GB2312" w:cs="仿宋_GB2312"/>
          <w:color w:val="000000" w:themeColor="text1"/>
          <w:sz w:val="32"/>
          <w:szCs w:val="32"/>
        </w:rPr>
        <w:t>对于纳入公务卡结算范围，使用公务卡结算公务支出，且公务卡支出均履行相关审批手续，资金使用符合公务卡结算相关制度和规定。</w:t>
      </w:r>
    </w:p>
    <w:p w14:paraId="21E78134">
      <w:pPr>
        <w:adjustRightInd w:val="0"/>
        <w:snapToGrid w:val="0"/>
        <w:spacing w:line="360" w:lineRule="auto"/>
        <w:ind w:firstLine="640" w:firstLineChars="200"/>
        <w:rPr>
          <w:rFonts w:ascii="仿宋_GB2312" w:eastAsia="仿宋_GB2312" w:cs="仿宋_GB2312"/>
          <w:color w:val="000000" w:themeColor="text1"/>
          <w:sz w:val="32"/>
          <w:szCs w:val="32"/>
        </w:rPr>
      </w:pPr>
      <w:r>
        <w:rPr>
          <w:rFonts w:hint="eastAsia" w:ascii="仿宋_GB2312" w:eastAsia="仿宋_GB2312" w:cs="仿宋_GB2312"/>
          <w:color w:val="000000" w:themeColor="text1"/>
          <w:sz w:val="32"/>
          <w:szCs w:val="32"/>
        </w:rPr>
        <w:t>整体上，资金使用合规、安全，但存在个别项目因需求优先级变更，实际支出内容与预算测算相比有略微出入，如，市机关事务局第二幼儿园专用设备购置经费项目，原计划购置的</w:t>
      </w:r>
      <w:r>
        <w:rPr>
          <w:rFonts w:hint="eastAsia" w:ascii="仿宋_GB2312" w:eastAsia="仿宋_GB2312" w:cs="仿宋_GB2312"/>
          <w:color w:val="000000" w:themeColor="text1"/>
          <w:sz w:val="32"/>
          <w:szCs w:val="32"/>
          <w:lang w:eastAsia="zh-CN"/>
        </w:rPr>
        <w:t>教学设备</w:t>
      </w:r>
      <w:r>
        <w:rPr>
          <w:rFonts w:hint="eastAsia" w:ascii="仿宋_GB2312" w:eastAsia="仿宋_GB2312" w:cs="仿宋_GB2312"/>
          <w:color w:val="000000" w:themeColor="text1"/>
          <w:sz w:val="32"/>
          <w:szCs w:val="32"/>
        </w:rPr>
        <w:t>，因教委要求需求优先级变化调整。</w:t>
      </w:r>
    </w:p>
    <w:p w14:paraId="25106FCF">
      <w:pPr>
        <w:adjustRightInd w:val="0"/>
        <w:snapToGrid w:val="0"/>
        <w:spacing w:line="360" w:lineRule="auto"/>
        <w:ind w:firstLine="640" w:firstLineChars="200"/>
        <w:outlineLvl w:val="2"/>
        <w:rPr>
          <w:rFonts w:ascii="仿宋_GB2312" w:hAnsi="宋体" w:eastAsia="仿宋_GB2312" w:cs="宋体"/>
          <w:color w:val="000000" w:themeColor="text1"/>
          <w:kern w:val="0"/>
          <w:sz w:val="32"/>
          <w:szCs w:val="32"/>
        </w:rPr>
      </w:pPr>
      <w:r>
        <w:rPr>
          <w:rFonts w:ascii="仿宋_GB2312" w:hAnsi="宋体" w:eastAsia="仿宋_GB2312" w:cs="宋体"/>
          <w:color w:val="000000" w:themeColor="text1"/>
          <w:kern w:val="0"/>
          <w:sz w:val="32"/>
          <w:szCs w:val="32"/>
        </w:rPr>
        <w:t>3.</w:t>
      </w:r>
      <w:r>
        <w:rPr>
          <w:rFonts w:hint="eastAsia" w:ascii="仿宋_GB2312" w:hAnsi="宋体" w:eastAsia="仿宋_GB2312" w:cs="宋体"/>
          <w:color w:val="000000" w:themeColor="text1"/>
          <w:kern w:val="0"/>
          <w:sz w:val="32"/>
          <w:szCs w:val="32"/>
        </w:rPr>
        <w:t>会计</w:t>
      </w:r>
      <w:r>
        <w:rPr>
          <w:rFonts w:ascii="仿宋_GB2312" w:hAnsi="宋体" w:eastAsia="仿宋_GB2312" w:cs="宋体"/>
          <w:color w:val="000000" w:themeColor="text1"/>
          <w:kern w:val="0"/>
          <w:sz w:val="32"/>
          <w:szCs w:val="32"/>
        </w:rPr>
        <w:t>基础信息完善性</w:t>
      </w:r>
    </w:p>
    <w:p w14:paraId="7ED15CF4">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按照</w:t>
      </w:r>
      <w:r>
        <w:rPr>
          <w:rFonts w:hint="eastAsia" w:ascii="仿宋_GB2312" w:hAnsi="宋体" w:eastAsia="仿宋_GB2312"/>
          <w:color w:val="000000" w:themeColor="text1"/>
          <w:sz w:val="32"/>
          <w:szCs w:val="32"/>
        </w:rPr>
        <w:t>《中华人民共和国会计法》《中华人民共和国预算法》《政府会计准则—基本准则》《政府会计制度—行政事业单位会计科目和报表》和《会计基础工作规范》等要求，</w:t>
      </w:r>
      <w:r>
        <w:rPr>
          <w:rFonts w:hint="eastAsia" w:ascii="仿宋_GB2312" w:hAnsi="宋体" w:eastAsia="仿宋_GB2312" w:cs="宋体"/>
          <w:color w:val="000000" w:themeColor="text1"/>
          <w:kern w:val="0"/>
          <w:sz w:val="32"/>
          <w:szCs w:val="32"/>
        </w:rPr>
        <w:t>市机关事务管理中心</w:t>
      </w:r>
      <w:r>
        <w:rPr>
          <w:rFonts w:hint="eastAsia" w:ascii="仿宋_GB2312" w:hAnsi="宋体" w:eastAsia="仿宋_GB2312"/>
          <w:color w:val="000000" w:themeColor="text1"/>
          <w:sz w:val="32"/>
          <w:szCs w:val="32"/>
        </w:rPr>
        <w:t>财务会计核算实行权责发生制，预算会计核算实行收付实现制，单位设置明细科目或进行明细核算，按照政府部门财务报告和政府综合财务报告等规定，编制部门财务报表和预算会计报表编制，部门会计基础数据信息和会计信息资料真实、完整、准确。</w:t>
      </w:r>
    </w:p>
    <w:p w14:paraId="214A21B5">
      <w:pPr>
        <w:adjustRightInd w:val="0"/>
        <w:snapToGrid w:val="0"/>
        <w:spacing w:line="360" w:lineRule="auto"/>
        <w:ind w:firstLine="640" w:firstLineChars="200"/>
        <w:outlineLvl w:val="1"/>
        <w:rPr>
          <w:rFonts w:ascii="楷体_GB2312" w:eastAsia="楷体_GB2312"/>
          <w:color w:val="000000" w:themeColor="text1"/>
          <w:sz w:val="32"/>
          <w:szCs w:val="32"/>
        </w:rPr>
      </w:pPr>
      <w:bookmarkStart w:id="13" w:name="_Toc3266"/>
      <w:r>
        <w:rPr>
          <w:rFonts w:hint="eastAsia" w:ascii="楷体_GB2312" w:eastAsia="楷体_GB2312"/>
          <w:color w:val="000000" w:themeColor="text1"/>
          <w:sz w:val="32"/>
          <w:szCs w:val="32"/>
        </w:rPr>
        <w:t>（二）资产管理</w:t>
      </w:r>
      <w:bookmarkEnd w:id="13"/>
    </w:p>
    <w:p w14:paraId="021258D5">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本级及所属二级预算单位均能够参照资产管理规范制度开展工作，资产新增、减少及时登记并形成固定资产台账，未出现资产损失和丢失的情况。2024年度，按中央和北京市市财政局“固定资产每年至少盘点一次”及北京市机关事务管理局通知要求，圆满完成了三个办公区的固定资产清查盘点工作。通过“共享共用”的方式，对集中办公区各单位资产实施统分结合管理，实现国有资产物尽其用、循环使用、高效利用，资产精细化管理水平不断提高。</w:t>
      </w:r>
    </w:p>
    <w:p w14:paraId="60AA92F1">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w:t>
      </w:r>
      <w:r>
        <w:rPr>
          <w:rFonts w:hint="eastAsia" w:ascii="仿宋_GB2312" w:hAnsi="仿宋_GB2312" w:eastAsia="仿宋_GB2312" w:cs="仿宋_GB2312"/>
          <w:color w:val="000000" w:themeColor="text1"/>
          <w:sz w:val="32"/>
          <w:szCs w:val="32"/>
        </w:rPr>
        <w:t>资产配置坚持“充分利旧、不足补新”原则，2024年度</w:t>
      </w:r>
      <w:r>
        <w:rPr>
          <w:rFonts w:hint="eastAsia" w:ascii="仿宋_GB2312" w:hAnsi="仿宋_GB2312" w:eastAsia="仿宋_GB2312" w:cs="仿宋_GB2312"/>
          <w:color w:val="000000" w:themeColor="text1"/>
          <w:sz w:val="32"/>
          <w:szCs w:val="40"/>
        </w:rPr>
        <w:t>全年接收搬迁单位留置资产674件，价值1016.06万元；跨办公区资产调配10次，利旧资产244件，价值36.74万元；推动闲置资产录入公物仓3353件，价值763.83万元；利用公物仓平台利旧闲置资产438件，价值120.02万元。资产</w:t>
      </w:r>
      <w:r>
        <w:rPr>
          <w:rFonts w:hint="eastAsia" w:ascii="仿宋_GB2312" w:hAnsi="宋体" w:eastAsia="仿宋_GB2312" w:cs="宋体"/>
          <w:color w:val="000000" w:themeColor="text1"/>
          <w:kern w:val="0"/>
          <w:sz w:val="32"/>
          <w:szCs w:val="32"/>
        </w:rPr>
        <w:t>相关配置均符合《北京市财政局&lt;关于调整北京市市级行政单位日常办公设备配置和最低使用年限标准</w:t>
      </w:r>
      <w:r>
        <w:rPr>
          <w:rFonts w:ascii="仿宋_GB2312" w:hAnsi="宋体" w:eastAsia="仿宋_GB2312" w:cs="宋体"/>
          <w:color w:val="000000" w:themeColor="text1"/>
          <w:kern w:val="0"/>
          <w:sz w:val="32"/>
          <w:szCs w:val="32"/>
        </w:rPr>
        <w:t>&gt;</w:t>
      </w:r>
      <w:r>
        <w:rPr>
          <w:rFonts w:hint="eastAsia" w:ascii="仿宋_GB2312" w:hAnsi="宋体" w:eastAsia="仿宋_GB2312" w:cs="宋体"/>
          <w:color w:val="000000" w:themeColor="text1"/>
          <w:kern w:val="0"/>
          <w:sz w:val="32"/>
          <w:szCs w:val="32"/>
        </w:rPr>
        <w:t>的通知》（京财资产〔2</w:t>
      </w:r>
      <w:r>
        <w:rPr>
          <w:rFonts w:ascii="仿宋_GB2312" w:hAnsi="宋体" w:eastAsia="仿宋_GB2312" w:cs="宋体"/>
          <w:color w:val="000000" w:themeColor="text1"/>
          <w:kern w:val="0"/>
          <w:sz w:val="32"/>
          <w:szCs w:val="32"/>
        </w:rPr>
        <w:t>011</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1714</w:t>
      </w:r>
      <w:r>
        <w:rPr>
          <w:rFonts w:hint="eastAsia" w:ascii="仿宋_GB2312" w:hAnsi="宋体" w:eastAsia="仿宋_GB2312" w:cs="宋体"/>
          <w:color w:val="000000" w:themeColor="text1"/>
          <w:kern w:val="0"/>
          <w:sz w:val="32"/>
          <w:szCs w:val="32"/>
        </w:rPr>
        <w:t>号）、《北京市财政局&lt;关于调整打印机等3类办公设备配置标准</w:t>
      </w:r>
      <w:r>
        <w:rPr>
          <w:rFonts w:ascii="仿宋_GB2312" w:hAnsi="宋体" w:eastAsia="仿宋_GB2312" w:cs="宋体"/>
          <w:color w:val="000000" w:themeColor="text1"/>
          <w:kern w:val="0"/>
          <w:sz w:val="32"/>
          <w:szCs w:val="32"/>
        </w:rPr>
        <w:t>&gt;</w:t>
      </w:r>
      <w:r>
        <w:rPr>
          <w:rFonts w:hint="eastAsia" w:ascii="仿宋_GB2312" w:hAnsi="宋体" w:eastAsia="仿宋_GB2312" w:cs="宋体"/>
          <w:color w:val="000000" w:themeColor="text1"/>
          <w:kern w:val="0"/>
          <w:sz w:val="32"/>
          <w:szCs w:val="32"/>
        </w:rPr>
        <w:t>的通知》（京财资产〔2</w:t>
      </w:r>
      <w:r>
        <w:rPr>
          <w:rFonts w:ascii="仿宋_GB2312" w:hAnsi="宋体" w:eastAsia="仿宋_GB2312" w:cs="宋体"/>
          <w:color w:val="000000" w:themeColor="text1"/>
          <w:kern w:val="0"/>
          <w:sz w:val="32"/>
          <w:szCs w:val="32"/>
        </w:rPr>
        <w:t>019</w:t>
      </w:r>
      <w:r>
        <w:rPr>
          <w:rFonts w:hint="eastAsia" w:ascii="仿宋_GB2312" w:hAnsi="宋体" w:eastAsia="仿宋_GB2312" w:cs="宋体"/>
          <w:color w:val="000000" w:themeColor="text1"/>
          <w:kern w:val="0"/>
          <w:sz w:val="32"/>
          <w:szCs w:val="32"/>
        </w:rPr>
        <w:t>〕1</w:t>
      </w:r>
      <w:r>
        <w:rPr>
          <w:rFonts w:ascii="仿宋_GB2312" w:hAnsi="宋体" w:eastAsia="仿宋_GB2312" w:cs="宋体"/>
          <w:color w:val="000000" w:themeColor="text1"/>
          <w:kern w:val="0"/>
          <w:sz w:val="32"/>
          <w:szCs w:val="32"/>
        </w:rPr>
        <w:t>128</w:t>
      </w:r>
      <w:r>
        <w:rPr>
          <w:rFonts w:hint="eastAsia" w:ascii="仿宋_GB2312" w:hAnsi="宋体" w:eastAsia="仿宋_GB2312" w:cs="宋体"/>
          <w:color w:val="000000" w:themeColor="text1"/>
          <w:kern w:val="0"/>
          <w:sz w:val="32"/>
          <w:szCs w:val="32"/>
        </w:rPr>
        <w:t>号）等文件标准。</w:t>
      </w:r>
    </w:p>
    <w:p w14:paraId="78F065AF">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整体上，市机关事务管理中心资产管理较规范，不存在对外投资行为，没有因管理不当发生严重资产损失和丢失情况，不存在超标准配置资产。资产使用规范，不存在未经批准擅自出租、出借资产行为。不存在不按要求进行报批或资产不公开处置行为。</w:t>
      </w:r>
    </w:p>
    <w:p w14:paraId="19EC38EC">
      <w:pPr>
        <w:adjustRightInd w:val="0"/>
        <w:snapToGrid w:val="0"/>
        <w:spacing w:line="360" w:lineRule="auto"/>
        <w:ind w:firstLine="640" w:firstLineChars="200"/>
        <w:outlineLvl w:val="1"/>
        <w:rPr>
          <w:rFonts w:ascii="楷体_GB2312" w:eastAsia="楷体_GB2312"/>
          <w:color w:val="000000" w:themeColor="text1"/>
          <w:sz w:val="32"/>
          <w:szCs w:val="32"/>
        </w:rPr>
      </w:pPr>
      <w:bookmarkStart w:id="14" w:name="_Toc27799"/>
      <w:r>
        <w:rPr>
          <w:rFonts w:hint="eastAsia" w:ascii="楷体_GB2312" w:eastAsia="楷体_GB2312"/>
          <w:color w:val="000000" w:themeColor="text1"/>
          <w:sz w:val="32"/>
          <w:szCs w:val="32"/>
        </w:rPr>
        <w:t>（三）绩效</w:t>
      </w:r>
      <w:r>
        <w:rPr>
          <w:rFonts w:ascii="楷体_GB2312" w:eastAsia="楷体_GB2312"/>
          <w:color w:val="000000" w:themeColor="text1"/>
          <w:sz w:val="32"/>
          <w:szCs w:val="32"/>
        </w:rPr>
        <w:t>管理</w:t>
      </w:r>
      <w:bookmarkEnd w:id="14"/>
    </w:p>
    <w:p w14:paraId="4CB7072B">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建立了以财务处牵头、业务处室及二级预算单位为主体，预算绩效管理工作领导小组为监督的预算绩效管理体系，按照北京市财政局相关要求，开展了绩效目标审核、绩效运行监控、绩效评价、成本绩效分析等工作，及时汇总、分析、整理相关绩效信息，上报市财政局。具体表现为：一是为确保预算编制的准确性，逐一对各个业务处室进行调研，收集预算基本信息，了解处室资金需求，提供财政政策指导，申报了15个项目，并组织开展了相关预算评审及绩效目标审核工作，绩效目标审核通过率100%，同时对15个年初申报项目中4个新增项目开展事前绩效评估。二是纳入半年绩效监控项目19个（含4个年中追加项目），绩效运行监控覆盖率100%。对绩效目标执行偏差的项目，及时分析原因、反馈各处室，督促各处室整改落实。市机关事务管理中心结合半年绩效监控总结的问题，梳理分析处室及二级预算单位的下半年资金支出需求，对下半年的支出计划进一步细化、调整。三是连同其他资金在内，全年纳入2</w:t>
      </w:r>
      <w:r>
        <w:rPr>
          <w:rFonts w:ascii="仿宋_GB2312" w:hAnsi="宋体" w:eastAsia="仿宋_GB2312" w:cs="宋体"/>
          <w:color w:val="000000" w:themeColor="text1"/>
          <w:kern w:val="0"/>
          <w:sz w:val="32"/>
          <w:szCs w:val="32"/>
        </w:rPr>
        <w:t>02</w:t>
      </w:r>
      <w:r>
        <w:rPr>
          <w:rFonts w:hint="eastAsia" w:ascii="仿宋_GB2312" w:hAnsi="宋体" w:eastAsia="仿宋_GB2312" w:cs="宋体"/>
          <w:color w:val="000000" w:themeColor="text1"/>
          <w:kern w:val="0"/>
          <w:sz w:val="32"/>
          <w:szCs w:val="32"/>
        </w:rPr>
        <w:t>4年绩效自评项目共计17个（含年初批复项目14个、年中追加项目3个），绩效自评覆盖率100.00</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选取“六里桥办公区6、9号门门前广场维修提升”为部门重点评价项目，从决策、过程、产出、效益四个维度对该项目进行评价。此外，2024年度市机关事务管理中心针对管理中心各办公区中小修支出零散，总额偏高的特点，对房屋及设施设备中小型修缮维护领域开展了成本绩效分析，形成了相应成本定额标准，为后续预算测算科学性、规范性及财政资金使用效益的提高奠定了基础。</w:t>
      </w:r>
    </w:p>
    <w:p w14:paraId="3FDBFA62">
      <w:pPr>
        <w:adjustRightInd w:val="0"/>
        <w:snapToGrid w:val="0"/>
        <w:spacing w:line="360" w:lineRule="auto"/>
        <w:ind w:firstLine="640" w:firstLineChars="200"/>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整体上绩效管理较为规范，绩效信息予以了及时梳理汇总分析，但存在部分项目绩效指标设定值偏低、半年监控后未及时予以调整矫差，如，“各办公区公共区域专用设备购置”项目，计划年度内设备购置177（台、套、件、辆），实际购置53（台、套、件、辆），项目需求摸底及实际执行与计划的一致性有待进一步提升。</w:t>
      </w:r>
    </w:p>
    <w:p w14:paraId="27DA6796">
      <w:pPr>
        <w:adjustRightInd w:val="0"/>
        <w:snapToGrid w:val="0"/>
        <w:spacing w:line="360" w:lineRule="auto"/>
        <w:ind w:firstLine="640" w:firstLineChars="200"/>
        <w:outlineLvl w:val="1"/>
        <w:rPr>
          <w:rFonts w:ascii="楷体_GB2312" w:eastAsia="楷体_GB2312"/>
          <w:color w:val="000000" w:themeColor="text1"/>
          <w:sz w:val="32"/>
          <w:szCs w:val="32"/>
        </w:rPr>
      </w:pPr>
      <w:bookmarkStart w:id="15" w:name="_Toc17564"/>
      <w:r>
        <w:rPr>
          <w:rFonts w:hint="eastAsia" w:ascii="楷体_GB2312" w:eastAsia="楷体_GB2312"/>
          <w:color w:val="000000" w:themeColor="text1"/>
          <w:sz w:val="32"/>
          <w:szCs w:val="32"/>
        </w:rPr>
        <w:t>（四）结转结余率</w:t>
      </w:r>
      <w:bookmarkEnd w:id="15"/>
    </w:p>
    <w:p w14:paraId="335434EB">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w:t>
      </w:r>
      <w:r>
        <w:rPr>
          <w:rFonts w:ascii="仿宋_GB2312" w:hAnsi="宋体" w:eastAsia="仿宋_GB2312" w:cs="宋体"/>
          <w:color w:val="000000" w:themeColor="text1"/>
          <w:kern w:val="0"/>
          <w:sz w:val="32"/>
          <w:szCs w:val="32"/>
        </w:rPr>
        <w:t>202</w:t>
      </w:r>
      <w:r>
        <w:rPr>
          <w:rFonts w:hint="eastAsia" w:ascii="仿宋_GB2312" w:hAnsi="宋体" w:eastAsia="仿宋_GB2312" w:cs="宋体"/>
          <w:color w:val="000000" w:themeColor="text1"/>
          <w:kern w:val="0"/>
          <w:sz w:val="32"/>
          <w:szCs w:val="32"/>
        </w:rPr>
        <w:t>4年度结转结余</w:t>
      </w:r>
      <w:r>
        <w:rPr>
          <w:rFonts w:ascii="仿宋_GB2312" w:hAnsi="宋体" w:eastAsia="仿宋_GB2312" w:cs="宋体"/>
          <w:color w:val="000000" w:themeColor="text1"/>
          <w:kern w:val="0"/>
          <w:sz w:val="32"/>
          <w:szCs w:val="32"/>
        </w:rPr>
        <w:t>1404</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084725</w:t>
      </w:r>
      <w:r>
        <w:rPr>
          <w:rFonts w:hint="eastAsia" w:ascii="仿宋_GB2312" w:hAnsi="宋体" w:eastAsia="仿宋_GB2312" w:cs="宋体"/>
          <w:color w:val="000000" w:themeColor="text1"/>
          <w:kern w:val="0"/>
          <w:sz w:val="32"/>
          <w:szCs w:val="32"/>
        </w:rPr>
        <w:t>万元，占支出预算数31003.087622万元的4.53</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202</w:t>
      </w:r>
      <w:r>
        <w:rPr>
          <w:rFonts w:hint="eastAsia" w:ascii="仿宋_GB2312" w:hAnsi="宋体" w:eastAsia="仿宋_GB2312" w:cs="宋体"/>
          <w:color w:val="000000" w:themeColor="text1"/>
          <w:kern w:val="0"/>
          <w:sz w:val="32"/>
          <w:szCs w:val="32"/>
        </w:rPr>
        <w:t>3年度结转结余1385.040434万元，占支出预算数34195.704023万元的4.05</w:t>
      </w:r>
      <w:r>
        <w:rPr>
          <w:rFonts w:ascii="仿宋_GB2312" w:hAnsi="宋体" w:eastAsia="仿宋_GB2312" w:cs="宋体"/>
          <w:color w:val="000000" w:themeColor="text1"/>
          <w:kern w:val="0"/>
          <w:sz w:val="32"/>
          <w:szCs w:val="32"/>
        </w:rPr>
        <w:t>%。202</w:t>
      </w:r>
      <w:r>
        <w:rPr>
          <w:rFonts w:hint="eastAsia" w:ascii="仿宋_GB2312" w:hAnsi="宋体" w:eastAsia="仿宋_GB2312" w:cs="宋体"/>
          <w:color w:val="000000" w:themeColor="text1"/>
          <w:kern w:val="0"/>
          <w:sz w:val="32"/>
          <w:szCs w:val="32"/>
        </w:rPr>
        <w:t>4年度结转结余率较</w:t>
      </w:r>
      <w:r>
        <w:rPr>
          <w:rFonts w:ascii="仿宋_GB2312" w:hAnsi="宋体" w:eastAsia="仿宋_GB2312" w:cs="宋体"/>
          <w:color w:val="000000" w:themeColor="text1"/>
          <w:kern w:val="0"/>
          <w:sz w:val="32"/>
          <w:szCs w:val="32"/>
        </w:rPr>
        <w:t>202</w:t>
      </w:r>
      <w:r>
        <w:rPr>
          <w:rFonts w:hint="eastAsia" w:ascii="仿宋_GB2312" w:hAnsi="宋体" w:eastAsia="仿宋_GB2312" w:cs="宋体"/>
          <w:color w:val="000000" w:themeColor="text1"/>
          <w:kern w:val="0"/>
          <w:sz w:val="32"/>
          <w:szCs w:val="32"/>
        </w:rPr>
        <w:t>3年度高出0.49个百分点</w:t>
      </w:r>
      <w:r>
        <w:rPr>
          <w:rFonts w:ascii="仿宋_GB2312" w:hAnsi="宋体" w:eastAsia="仿宋_GB2312" w:cs="宋体"/>
          <w:color w:val="000000" w:themeColor="text1"/>
          <w:kern w:val="0"/>
          <w:sz w:val="32"/>
          <w:szCs w:val="32"/>
        </w:rPr>
        <w:t>，预算资金执行进度存在进一步提升空间。</w:t>
      </w:r>
    </w:p>
    <w:p w14:paraId="74270C5A">
      <w:pPr>
        <w:adjustRightInd w:val="0"/>
        <w:snapToGrid w:val="0"/>
        <w:spacing w:line="360" w:lineRule="auto"/>
        <w:ind w:firstLine="640" w:firstLineChars="200"/>
        <w:outlineLvl w:val="1"/>
        <w:rPr>
          <w:rFonts w:ascii="楷体_GB2312" w:eastAsia="楷体_GB2312"/>
          <w:color w:val="000000" w:themeColor="text1"/>
          <w:sz w:val="32"/>
          <w:szCs w:val="32"/>
        </w:rPr>
      </w:pPr>
      <w:bookmarkStart w:id="16" w:name="_Toc28785"/>
      <w:r>
        <w:rPr>
          <w:rFonts w:hint="eastAsia" w:ascii="楷体_GB2312" w:eastAsia="楷体_GB2312"/>
          <w:color w:val="000000" w:themeColor="text1"/>
          <w:sz w:val="32"/>
          <w:szCs w:val="32"/>
        </w:rPr>
        <w:t>（五）部门</w:t>
      </w:r>
      <w:r>
        <w:rPr>
          <w:rFonts w:ascii="楷体_GB2312" w:eastAsia="楷体_GB2312"/>
          <w:color w:val="000000" w:themeColor="text1"/>
          <w:sz w:val="32"/>
          <w:szCs w:val="32"/>
        </w:rPr>
        <w:t>预决算差异率</w:t>
      </w:r>
      <w:bookmarkEnd w:id="16"/>
    </w:p>
    <w:p w14:paraId="46A37F91">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市机关事务管理中心2</w:t>
      </w:r>
      <w:r>
        <w:rPr>
          <w:rFonts w:ascii="仿宋_GB2312" w:hAnsi="宋体" w:eastAsia="仿宋_GB2312" w:cs="宋体"/>
          <w:color w:val="000000" w:themeColor="text1"/>
          <w:kern w:val="0"/>
          <w:sz w:val="32"/>
          <w:szCs w:val="32"/>
        </w:rPr>
        <w:t>02</w:t>
      </w:r>
      <w:r>
        <w:rPr>
          <w:rFonts w:hint="eastAsia" w:ascii="仿宋_GB2312" w:hAnsi="宋体" w:eastAsia="仿宋_GB2312" w:cs="宋体"/>
          <w:color w:val="000000" w:themeColor="text1"/>
          <w:kern w:val="0"/>
          <w:sz w:val="32"/>
          <w:szCs w:val="32"/>
        </w:rPr>
        <w:t>4年度年初预算数</w:t>
      </w:r>
      <w:r>
        <w:rPr>
          <w:rFonts w:ascii="仿宋_GB2312" w:hAnsi="宋体" w:eastAsia="仿宋_GB2312" w:cs="宋体"/>
          <w:color w:val="000000" w:themeColor="text1"/>
          <w:kern w:val="0"/>
          <w:sz w:val="32"/>
          <w:szCs w:val="32"/>
        </w:rPr>
        <w:t>32470.199634</w:t>
      </w:r>
      <w:r>
        <w:rPr>
          <w:rFonts w:hint="eastAsia" w:ascii="仿宋_GB2312" w:hAnsi="宋体" w:eastAsia="仿宋_GB2312" w:cs="宋体"/>
          <w:color w:val="000000" w:themeColor="text1"/>
          <w:kern w:val="0"/>
          <w:sz w:val="32"/>
          <w:szCs w:val="32"/>
        </w:rPr>
        <w:t>万元，全年执行数为</w:t>
      </w:r>
      <w:r>
        <w:rPr>
          <w:rFonts w:ascii="仿宋_GB2312" w:hAnsi="宋体" w:eastAsia="仿宋_GB2312" w:cs="宋体"/>
          <w:color w:val="000000" w:themeColor="text1"/>
          <w:kern w:val="0"/>
          <w:sz w:val="32"/>
          <w:szCs w:val="32"/>
        </w:rPr>
        <w:t>29599.002897</w:t>
      </w:r>
      <w:r>
        <w:rPr>
          <w:rFonts w:hint="eastAsia" w:ascii="仿宋_GB2312" w:hAnsi="宋体" w:eastAsia="仿宋_GB2312" w:cs="宋体"/>
          <w:color w:val="000000" w:themeColor="text1"/>
          <w:kern w:val="0"/>
          <w:sz w:val="32"/>
          <w:szCs w:val="32"/>
        </w:rPr>
        <w:t>万元，部门预决算差异率为8.84%，较上年度的6.96%高出1.88个百分点，部门整体预算约束情况仍有提升空间。</w:t>
      </w:r>
    </w:p>
    <w:bookmarkEnd w:id="11"/>
    <w:bookmarkEnd w:id="12"/>
    <w:p w14:paraId="51752FE7">
      <w:pPr>
        <w:adjustRightInd w:val="0"/>
        <w:snapToGrid w:val="0"/>
        <w:spacing w:line="360" w:lineRule="auto"/>
        <w:ind w:firstLine="640" w:firstLineChars="200"/>
        <w:outlineLvl w:val="0"/>
        <w:rPr>
          <w:rFonts w:ascii="黑体" w:hAnsi="黑体" w:eastAsia="黑体"/>
          <w:color w:val="000000" w:themeColor="text1"/>
          <w:sz w:val="32"/>
          <w:szCs w:val="32"/>
        </w:rPr>
      </w:pPr>
      <w:bookmarkStart w:id="17" w:name="_Toc16884"/>
      <w:r>
        <w:rPr>
          <w:rFonts w:hint="eastAsia" w:ascii="黑体" w:hAnsi="黑体" w:eastAsia="黑体"/>
          <w:color w:val="000000" w:themeColor="text1"/>
          <w:sz w:val="32"/>
          <w:szCs w:val="32"/>
        </w:rPr>
        <w:t>五、总体</w:t>
      </w:r>
      <w:r>
        <w:rPr>
          <w:rFonts w:ascii="黑体" w:hAnsi="黑体" w:eastAsia="黑体"/>
          <w:color w:val="000000" w:themeColor="text1"/>
          <w:sz w:val="32"/>
          <w:szCs w:val="32"/>
        </w:rPr>
        <w:t>评价结论</w:t>
      </w:r>
      <w:bookmarkEnd w:id="17"/>
    </w:p>
    <w:p w14:paraId="3966E644">
      <w:pPr>
        <w:adjustRightInd w:val="0"/>
        <w:snapToGrid w:val="0"/>
        <w:spacing w:line="360" w:lineRule="auto"/>
        <w:ind w:firstLine="640" w:firstLineChars="200"/>
        <w:outlineLvl w:val="1"/>
        <w:rPr>
          <w:rFonts w:ascii="楷体_GB2312" w:eastAsia="楷体_GB2312"/>
          <w:color w:val="000000" w:themeColor="text1"/>
          <w:sz w:val="32"/>
          <w:szCs w:val="32"/>
        </w:rPr>
      </w:pPr>
      <w:bookmarkStart w:id="18" w:name="_Toc15445"/>
      <w:r>
        <w:rPr>
          <w:rFonts w:hint="eastAsia" w:ascii="楷体_GB2312" w:eastAsia="楷体_GB2312"/>
          <w:color w:val="000000" w:themeColor="text1"/>
          <w:sz w:val="32"/>
          <w:szCs w:val="32"/>
        </w:rPr>
        <w:t>（一）评价</w:t>
      </w:r>
      <w:r>
        <w:rPr>
          <w:rFonts w:ascii="楷体_GB2312" w:eastAsia="楷体_GB2312"/>
          <w:color w:val="000000" w:themeColor="text1"/>
          <w:sz w:val="32"/>
          <w:szCs w:val="32"/>
        </w:rPr>
        <w:t>得分</w:t>
      </w:r>
      <w:r>
        <w:rPr>
          <w:rFonts w:hint="eastAsia" w:ascii="楷体_GB2312" w:eastAsia="楷体_GB2312"/>
          <w:color w:val="000000" w:themeColor="text1"/>
          <w:sz w:val="32"/>
          <w:szCs w:val="32"/>
        </w:rPr>
        <w:t>情况</w:t>
      </w:r>
      <w:bookmarkEnd w:id="18"/>
    </w:p>
    <w:p w14:paraId="346A3829">
      <w:pPr>
        <w:adjustRightInd w:val="0"/>
        <w:snapToGrid w:val="0"/>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2024年度，市机关事务管理中心部门整体支出综合绩效评价等级为“优”，评价得分92.03分，得分情况见附件1。</w:t>
      </w:r>
    </w:p>
    <w:p w14:paraId="742CE324">
      <w:pPr>
        <w:adjustRightInd w:val="0"/>
        <w:snapToGrid w:val="0"/>
        <w:spacing w:line="360" w:lineRule="auto"/>
        <w:ind w:firstLine="640" w:firstLineChars="200"/>
        <w:outlineLvl w:val="1"/>
        <w:rPr>
          <w:rFonts w:ascii="楷体_GB2312" w:eastAsia="楷体_GB2312"/>
          <w:color w:val="000000" w:themeColor="text1"/>
          <w:sz w:val="32"/>
          <w:szCs w:val="32"/>
        </w:rPr>
      </w:pPr>
      <w:bookmarkStart w:id="19" w:name="_Toc30377"/>
      <w:r>
        <w:rPr>
          <w:rFonts w:hint="eastAsia" w:ascii="楷体_GB2312" w:eastAsia="楷体_GB2312"/>
          <w:color w:val="000000" w:themeColor="text1"/>
          <w:sz w:val="32"/>
          <w:szCs w:val="32"/>
        </w:rPr>
        <w:t>（二）存在的问题及原因分析</w:t>
      </w:r>
      <w:bookmarkEnd w:id="19"/>
    </w:p>
    <w:p w14:paraId="672B5946">
      <w:pPr>
        <w:adjustRightInd w:val="0"/>
        <w:snapToGrid w:val="0"/>
        <w:spacing w:line="360" w:lineRule="auto"/>
        <w:ind w:firstLine="640" w:firstLineChars="200"/>
        <w:rPr>
          <w:rFonts w:ascii="仿宋_GB2312" w:eastAsia="仿宋_GB2312"/>
          <w:color w:val="000000" w:themeColor="text1"/>
          <w:sz w:val="32"/>
          <w:szCs w:val="32"/>
          <w:lang w:val="en-GB"/>
        </w:rPr>
      </w:pPr>
      <w:bookmarkStart w:id="20" w:name="_Toc135231113"/>
      <w:bookmarkStart w:id="21" w:name="_Toc135402112"/>
      <w:r>
        <w:rPr>
          <w:rFonts w:hint="eastAsia" w:ascii="仿宋_GB2312" w:hAnsi="宋体" w:eastAsia="仿宋_GB2312"/>
          <w:color w:val="000000" w:themeColor="text1"/>
          <w:sz w:val="32"/>
          <w:szCs w:val="32"/>
        </w:rPr>
        <w:t>一是部分工作综合调度能力还存在进一步提升空间，在思路谋划、方案制定以及协同工作等方面存在不足，前期调研摸底方面不够充分，导致实际工作开展中与原定计划产生一定差异，实施进度随之出现延迟；二是</w:t>
      </w:r>
      <w:r>
        <w:rPr>
          <w:rFonts w:hint="eastAsia" w:ascii="仿宋_GB2312" w:eastAsia="仿宋_GB2312"/>
          <w:color w:val="000000" w:themeColor="text1"/>
          <w:sz w:val="32"/>
          <w:szCs w:val="32"/>
        </w:rPr>
        <w:t>是部分项目</w:t>
      </w:r>
      <w:r>
        <w:rPr>
          <w:rFonts w:hint="eastAsia" w:ascii="仿宋_GB2312" w:hAnsi="宋体" w:eastAsia="仿宋_GB2312" w:cs="宋体"/>
          <w:color w:val="000000" w:themeColor="text1"/>
          <w:kern w:val="0"/>
          <w:sz w:val="32"/>
          <w:szCs w:val="32"/>
        </w:rPr>
        <w:t>未开展针对性满意度调查，对满意度的统计分析不够充分。</w:t>
      </w:r>
    </w:p>
    <w:p w14:paraId="0840A161">
      <w:pPr>
        <w:adjustRightInd w:val="0"/>
        <w:snapToGrid w:val="0"/>
        <w:spacing w:line="360" w:lineRule="auto"/>
        <w:ind w:firstLine="640" w:firstLineChars="200"/>
        <w:outlineLvl w:val="0"/>
        <w:rPr>
          <w:rFonts w:ascii="黑体" w:hAnsi="黑体" w:eastAsia="黑体" w:cs="宋体"/>
          <w:color w:val="000000" w:themeColor="text1"/>
          <w:kern w:val="0"/>
          <w:sz w:val="32"/>
          <w:szCs w:val="32"/>
        </w:rPr>
      </w:pPr>
      <w:bookmarkStart w:id="22" w:name="_Toc10419"/>
      <w:r>
        <w:rPr>
          <w:rFonts w:hint="eastAsia" w:ascii="黑体" w:hAnsi="黑体" w:eastAsia="黑体" w:cs="宋体"/>
          <w:color w:val="000000" w:themeColor="text1"/>
          <w:kern w:val="0"/>
          <w:sz w:val="32"/>
          <w:szCs w:val="32"/>
        </w:rPr>
        <w:t>六、措施建议</w:t>
      </w:r>
      <w:bookmarkEnd w:id="20"/>
      <w:bookmarkEnd w:id="21"/>
      <w:bookmarkEnd w:id="22"/>
    </w:p>
    <w:p w14:paraId="246AF299">
      <w:pPr>
        <w:widowControl/>
        <w:adjustRightInd w:val="0"/>
        <w:snapToGrid w:val="0"/>
        <w:spacing w:line="360" w:lineRule="auto"/>
        <w:ind w:firstLine="640" w:firstLineChars="200"/>
        <w:jc w:val="left"/>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一是强化工作统筹调度能力。聚焦项目全周期管理，在前期阶段深化思路谋划与需求调研，组织跨部门力量对工作目标、资源配置、执行路径开展充分论证，形成科学可行的实施方案；建立动态监管机制，定期跟踪进度，针对计划偏差及时协调纠偏，遇客观因素影响时灵活调整方案，保障工作有序推进。二是完善满意度调查与分析机制。针对不同工作类型设计专项满意度调查，通过多渠道扩大样本覆盖范围，全面收集服务对象反馈；运用数据统计工具对满意度数据进行分类梳理，聚焦关键问题开展深度分析，将结果作为优化工作流程、提升服务质量的重要依据，推动工作效能与满意度双提升。</w:t>
      </w:r>
    </w:p>
    <w:p w14:paraId="6A943A8B">
      <w:pPr>
        <w:adjustRightInd w:val="0"/>
        <w:snapToGrid w:val="0"/>
        <w:spacing w:line="360" w:lineRule="auto"/>
        <w:ind w:firstLine="640" w:firstLineChars="200"/>
        <w:rPr>
          <w:rFonts w:ascii="黑体" w:hAnsi="黑体" w:eastAsia="黑体" w:cs="宋体"/>
          <w:color w:val="000000" w:themeColor="text1"/>
          <w:kern w:val="0"/>
          <w:sz w:val="32"/>
          <w:szCs w:val="32"/>
        </w:rPr>
      </w:pPr>
      <w:bookmarkStart w:id="23" w:name="_Toc135231114"/>
      <w:bookmarkStart w:id="24" w:name="_Toc135402113"/>
      <w:r>
        <w:rPr>
          <w:rFonts w:hint="eastAsia" w:ascii="黑体" w:hAnsi="黑体" w:eastAsia="黑体" w:cs="宋体"/>
          <w:color w:val="000000" w:themeColor="text1"/>
          <w:kern w:val="0"/>
          <w:sz w:val="32"/>
          <w:szCs w:val="32"/>
        </w:rPr>
        <w:t>七、附件</w:t>
      </w:r>
      <w:bookmarkEnd w:id="23"/>
      <w:bookmarkEnd w:id="24"/>
    </w:p>
    <w:p w14:paraId="1C1D03B0">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附件1：2024年度部门整体绩效评价指标体系评分表</w:t>
      </w:r>
    </w:p>
    <w:p w14:paraId="2A79D0B2">
      <w:pPr>
        <w:adjustRightInd w:val="0"/>
        <w:snapToGrid w:val="0"/>
        <w:spacing w:line="360" w:lineRule="auto"/>
        <w:ind w:firstLine="200"/>
        <w:rPr>
          <w:rFonts w:ascii="仿宋_GB2312" w:hAnsi="宋体" w:eastAsia="仿宋_GB2312" w:cs="宋体"/>
          <w:color w:val="000000" w:themeColor="text1"/>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0224"/>
    </w:sdtPr>
    <w:sdtEndPr>
      <w:rPr>
        <w:rFonts w:ascii="宋体" w:hAnsi="宋体"/>
        <w:sz w:val="24"/>
        <w:szCs w:val="24"/>
      </w:rPr>
    </w:sdtEndPr>
    <w:sdtContent>
      <w:p w14:paraId="6A2B29A1">
        <w:pPr>
          <w:pStyle w:val="5"/>
          <w:jc w:val="center"/>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7</w:t>
        </w:r>
        <w:r>
          <w:rPr>
            <w:rFonts w:ascii="宋体" w:hAnsi="宋体"/>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261445"/>
    </w:sdtPr>
    <w:sdtEndPr>
      <w:rPr>
        <w:rFonts w:ascii="宋体" w:hAnsi="宋体"/>
        <w:sz w:val="24"/>
        <w:szCs w:val="24"/>
      </w:rPr>
    </w:sdtEndPr>
    <w:sdtContent>
      <w:p w14:paraId="7312D2EC">
        <w:pPr>
          <w:pStyle w:val="5"/>
          <w:jc w:val="center"/>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22</w:t>
        </w:r>
        <w:r>
          <w:rPr>
            <w:rFonts w:ascii="宋体" w:hAnsi="宋体"/>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486E6458">
      <w:pPr>
        <w:pStyle w:val="8"/>
        <w:rPr>
          <w:rFonts w:ascii="宋体" w:hAnsi="宋体" w:cs="宋体"/>
        </w:rPr>
      </w:pPr>
      <w:r>
        <w:rPr>
          <w:rStyle w:val="19"/>
          <w:rFonts w:ascii="宋体" w:hAnsi="宋体" w:cs="宋体"/>
        </w:rPr>
        <w:footnoteRef/>
      </w:r>
      <w:r>
        <w:rPr>
          <w:rFonts w:ascii="宋体" w:hAnsi="宋体" w:cs="宋体"/>
        </w:rPr>
        <w:t xml:space="preserve"> </w:t>
      </w:r>
      <w:r>
        <w:rPr>
          <w:rFonts w:hint="eastAsia" w:ascii="宋体" w:hAnsi="宋体" w:cs="宋体"/>
        </w:rPr>
        <w:t>部门整体收支情况为全口径预算，包括当年财政拨款、上年结转结余、其他资金等资金来源。</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QwYWQwOWJjOGU5YTI1M2FmMTUzN2RmMTdiZjU4MmQifQ=="/>
  </w:docVars>
  <w:rsids>
    <w:rsidRoot w:val="005E4E7A"/>
    <w:rsid w:val="00000353"/>
    <w:rsid w:val="00000DD4"/>
    <w:rsid w:val="00007396"/>
    <w:rsid w:val="00010A51"/>
    <w:rsid w:val="0001130A"/>
    <w:rsid w:val="00011A72"/>
    <w:rsid w:val="00014C25"/>
    <w:rsid w:val="00015062"/>
    <w:rsid w:val="00021696"/>
    <w:rsid w:val="00030A2A"/>
    <w:rsid w:val="00032C3D"/>
    <w:rsid w:val="0003702C"/>
    <w:rsid w:val="0004044A"/>
    <w:rsid w:val="00040B62"/>
    <w:rsid w:val="00044766"/>
    <w:rsid w:val="00047C3F"/>
    <w:rsid w:val="00050293"/>
    <w:rsid w:val="00050C6D"/>
    <w:rsid w:val="00056FA5"/>
    <w:rsid w:val="000579D3"/>
    <w:rsid w:val="00057BFD"/>
    <w:rsid w:val="00062235"/>
    <w:rsid w:val="000627E2"/>
    <w:rsid w:val="000628D0"/>
    <w:rsid w:val="00062FF4"/>
    <w:rsid w:val="000669CA"/>
    <w:rsid w:val="0006787E"/>
    <w:rsid w:val="000708F0"/>
    <w:rsid w:val="0007309D"/>
    <w:rsid w:val="00073362"/>
    <w:rsid w:val="00080192"/>
    <w:rsid w:val="00083E2A"/>
    <w:rsid w:val="00084D57"/>
    <w:rsid w:val="00087959"/>
    <w:rsid w:val="00092A42"/>
    <w:rsid w:val="00092D6B"/>
    <w:rsid w:val="0009489D"/>
    <w:rsid w:val="000A1752"/>
    <w:rsid w:val="000A1A99"/>
    <w:rsid w:val="000A2C34"/>
    <w:rsid w:val="000A346C"/>
    <w:rsid w:val="000A436B"/>
    <w:rsid w:val="000A7E16"/>
    <w:rsid w:val="000B09A0"/>
    <w:rsid w:val="000B16F5"/>
    <w:rsid w:val="000B3FCB"/>
    <w:rsid w:val="000B4F8E"/>
    <w:rsid w:val="000B51BC"/>
    <w:rsid w:val="000C1C6F"/>
    <w:rsid w:val="000C3F65"/>
    <w:rsid w:val="000C77F0"/>
    <w:rsid w:val="000C7F35"/>
    <w:rsid w:val="000D2D70"/>
    <w:rsid w:val="000D3654"/>
    <w:rsid w:val="000E1F40"/>
    <w:rsid w:val="000E7D2B"/>
    <w:rsid w:val="000F4F50"/>
    <w:rsid w:val="000F6A70"/>
    <w:rsid w:val="001007DA"/>
    <w:rsid w:val="00100E7E"/>
    <w:rsid w:val="00100F56"/>
    <w:rsid w:val="00103B8B"/>
    <w:rsid w:val="0011094C"/>
    <w:rsid w:val="00112985"/>
    <w:rsid w:val="00124EA7"/>
    <w:rsid w:val="0012530F"/>
    <w:rsid w:val="00125AA9"/>
    <w:rsid w:val="00127CB1"/>
    <w:rsid w:val="00133427"/>
    <w:rsid w:val="00134A57"/>
    <w:rsid w:val="00140144"/>
    <w:rsid w:val="001416E9"/>
    <w:rsid w:val="00141D62"/>
    <w:rsid w:val="001441D0"/>
    <w:rsid w:val="00146555"/>
    <w:rsid w:val="00146A1B"/>
    <w:rsid w:val="00150D10"/>
    <w:rsid w:val="0015321C"/>
    <w:rsid w:val="00154A1F"/>
    <w:rsid w:val="001562B8"/>
    <w:rsid w:val="00157613"/>
    <w:rsid w:val="00157DD0"/>
    <w:rsid w:val="001606EA"/>
    <w:rsid w:val="00163372"/>
    <w:rsid w:val="0016568F"/>
    <w:rsid w:val="00166D9A"/>
    <w:rsid w:val="00167EFA"/>
    <w:rsid w:val="001709B3"/>
    <w:rsid w:val="0017191A"/>
    <w:rsid w:val="00171DB2"/>
    <w:rsid w:val="00172DE3"/>
    <w:rsid w:val="00176963"/>
    <w:rsid w:val="00180626"/>
    <w:rsid w:val="00180894"/>
    <w:rsid w:val="00192B55"/>
    <w:rsid w:val="001967F5"/>
    <w:rsid w:val="00196FDD"/>
    <w:rsid w:val="001970D7"/>
    <w:rsid w:val="00197181"/>
    <w:rsid w:val="00197242"/>
    <w:rsid w:val="001B012D"/>
    <w:rsid w:val="001B4AE3"/>
    <w:rsid w:val="001B653C"/>
    <w:rsid w:val="001B6870"/>
    <w:rsid w:val="001C06B8"/>
    <w:rsid w:val="001C1F28"/>
    <w:rsid w:val="001C3A1D"/>
    <w:rsid w:val="001C46DB"/>
    <w:rsid w:val="001C5A33"/>
    <w:rsid w:val="001C6B4C"/>
    <w:rsid w:val="001C7485"/>
    <w:rsid w:val="001D0BFA"/>
    <w:rsid w:val="001D2F2A"/>
    <w:rsid w:val="001D4894"/>
    <w:rsid w:val="001D6076"/>
    <w:rsid w:val="001D6671"/>
    <w:rsid w:val="001E003C"/>
    <w:rsid w:val="001E0591"/>
    <w:rsid w:val="001E256C"/>
    <w:rsid w:val="001E464F"/>
    <w:rsid w:val="001E77E8"/>
    <w:rsid w:val="001E7A9F"/>
    <w:rsid w:val="001F05D2"/>
    <w:rsid w:val="001F25A4"/>
    <w:rsid w:val="001F25EE"/>
    <w:rsid w:val="001F3D48"/>
    <w:rsid w:val="001F4036"/>
    <w:rsid w:val="001F4AC3"/>
    <w:rsid w:val="001F56CC"/>
    <w:rsid w:val="001F7CC5"/>
    <w:rsid w:val="002030DF"/>
    <w:rsid w:val="0020495D"/>
    <w:rsid w:val="00206C31"/>
    <w:rsid w:val="00210BB9"/>
    <w:rsid w:val="0021282A"/>
    <w:rsid w:val="002218A0"/>
    <w:rsid w:val="0022492B"/>
    <w:rsid w:val="002264EF"/>
    <w:rsid w:val="002272F8"/>
    <w:rsid w:val="00233572"/>
    <w:rsid w:val="002338FA"/>
    <w:rsid w:val="00235CA6"/>
    <w:rsid w:val="002379BB"/>
    <w:rsid w:val="0024101D"/>
    <w:rsid w:val="002420B8"/>
    <w:rsid w:val="002435F1"/>
    <w:rsid w:val="002443C6"/>
    <w:rsid w:val="00244CE1"/>
    <w:rsid w:val="0024686E"/>
    <w:rsid w:val="00250622"/>
    <w:rsid w:val="002523D3"/>
    <w:rsid w:val="00252E69"/>
    <w:rsid w:val="00256FC4"/>
    <w:rsid w:val="002605D1"/>
    <w:rsid w:val="00261763"/>
    <w:rsid w:val="00262CA3"/>
    <w:rsid w:val="00270FF7"/>
    <w:rsid w:val="00274753"/>
    <w:rsid w:val="00276A51"/>
    <w:rsid w:val="00276E72"/>
    <w:rsid w:val="002774F9"/>
    <w:rsid w:val="00280CB5"/>
    <w:rsid w:val="00284E24"/>
    <w:rsid w:val="002853F6"/>
    <w:rsid w:val="00287D0F"/>
    <w:rsid w:val="00290016"/>
    <w:rsid w:val="002920EB"/>
    <w:rsid w:val="00292E0B"/>
    <w:rsid w:val="00294580"/>
    <w:rsid w:val="002A566B"/>
    <w:rsid w:val="002A5CA3"/>
    <w:rsid w:val="002A617A"/>
    <w:rsid w:val="002C1305"/>
    <w:rsid w:val="002C14C7"/>
    <w:rsid w:val="002C40DE"/>
    <w:rsid w:val="002C7394"/>
    <w:rsid w:val="002C75BB"/>
    <w:rsid w:val="002D044F"/>
    <w:rsid w:val="002D4F01"/>
    <w:rsid w:val="002D4F18"/>
    <w:rsid w:val="002D7F29"/>
    <w:rsid w:val="002E173F"/>
    <w:rsid w:val="002F11AC"/>
    <w:rsid w:val="002F201E"/>
    <w:rsid w:val="002F58F0"/>
    <w:rsid w:val="002F6960"/>
    <w:rsid w:val="002F7B3B"/>
    <w:rsid w:val="00302C0A"/>
    <w:rsid w:val="003040BE"/>
    <w:rsid w:val="0030729D"/>
    <w:rsid w:val="003108E0"/>
    <w:rsid w:val="0031161F"/>
    <w:rsid w:val="00311EC8"/>
    <w:rsid w:val="00316B1F"/>
    <w:rsid w:val="00316BBE"/>
    <w:rsid w:val="00320CFD"/>
    <w:rsid w:val="003226A5"/>
    <w:rsid w:val="0032272F"/>
    <w:rsid w:val="00323A2F"/>
    <w:rsid w:val="00325623"/>
    <w:rsid w:val="00327557"/>
    <w:rsid w:val="00327ED2"/>
    <w:rsid w:val="00330941"/>
    <w:rsid w:val="00330D25"/>
    <w:rsid w:val="003332A3"/>
    <w:rsid w:val="003401B8"/>
    <w:rsid w:val="00340778"/>
    <w:rsid w:val="00341880"/>
    <w:rsid w:val="003426EA"/>
    <w:rsid w:val="00342F94"/>
    <w:rsid w:val="00346DF7"/>
    <w:rsid w:val="00350FD6"/>
    <w:rsid w:val="00353CFA"/>
    <w:rsid w:val="00354C86"/>
    <w:rsid w:val="00360225"/>
    <w:rsid w:val="0036035E"/>
    <w:rsid w:val="003628C4"/>
    <w:rsid w:val="00364018"/>
    <w:rsid w:val="00364888"/>
    <w:rsid w:val="0036788F"/>
    <w:rsid w:val="00372C56"/>
    <w:rsid w:val="00373204"/>
    <w:rsid w:val="00373D27"/>
    <w:rsid w:val="00374A30"/>
    <w:rsid w:val="0037603E"/>
    <w:rsid w:val="0038300A"/>
    <w:rsid w:val="003856C4"/>
    <w:rsid w:val="003861DD"/>
    <w:rsid w:val="003915A8"/>
    <w:rsid w:val="003971D6"/>
    <w:rsid w:val="003A2390"/>
    <w:rsid w:val="003A5203"/>
    <w:rsid w:val="003A6A0E"/>
    <w:rsid w:val="003A7071"/>
    <w:rsid w:val="003B29A5"/>
    <w:rsid w:val="003B72D3"/>
    <w:rsid w:val="003C26BE"/>
    <w:rsid w:val="003C63D0"/>
    <w:rsid w:val="003C6E61"/>
    <w:rsid w:val="003C7D23"/>
    <w:rsid w:val="003D0F74"/>
    <w:rsid w:val="003D2853"/>
    <w:rsid w:val="003D65B2"/>
    <w:rsid w:val="003D7C0D"/>
    <w:rsid w:val="003E0742"/>
    <w:rsid w:val="003E178E"/>
    <w:rsid w:val="003E38A8"/>
    <w:rsid w:val="003E56E0"/>
    <w:rsid w:val="003E7067"/>
    <w:rsid w:val="003F0411"/>
    <w:rsid w:val="003F2D46"/>
    <w:rsid w:val="004024F9"/>
    <w:rsid w:val="0040273C"/>
    <w:rsid w:val="00403119"/>
    <w:rsid w:val="004041D2"/>
    <w:rsid w:val="00404A85"/>
    <w:rsid w:val="00404B1D"/>
    <w:rsid w:val="00404F17"/>
    <w:rsid w:val="00405027"/>
    <w:rsid w:val="00406498"/>
    <w:rsid w:val="00407D40"/>
    <w:rsid w:val="004108BA"/>
    <w:rsid w:val="00414D9A"/>
    <w:rsid w:val="00417BCD"/>
    <w:rsid w:val="00427D84"/>
    <w:rsid w:val="00430A98"/>
    <w:rsid w:val="00431700"/>
    <w:rsid w:val="0043178D"/>
    <w:rsid w:val="0043437A"/>
    <w:rsid w:val="0043441F"/>
    <w:rsid w:val="004356D2"/>
    <w:rsid w:val="004359D5"/>
    <w:rsid w:val="00440D20"/>
    <w:rsid w:val="0044296C"/>
    <w:rsid w:val="00445A41"/>
    <w:rsid w:val="00445EC9"/>
    <w:rsid w:val="00460D63"/>
    <w:rsid w:val="00462CAD"/>
    <w:rsid w:val="00467B28"/>
    <w:rsid w:val="004728F6"/>
    <w:rsid w:val="00472F47"/>
    <w:rsid w:val="00474A50"/>
    <w:rsid w:val="00474E1D"/>
    <w:rsid w:val="004768D0"/>
    <w:rsid w:val="00476BC3"/>
    <w:rsid w:val="00477343"/>
    <w:rsid w:val="00497980"/>
    <w:rsid w:val="004A5198"/>
    <w:rsid w:val="004A7635"/>
    <w:rsid w:val="004A7A90"/>
    <w:rsid w:val="004B22B4"/>
    <w:rsid w:val="004B54FE"/>
    <w:rsid w:val="004B68D2"/>
    <w:rsid w:val="004C1FC0"/>
    <w:rsid w:val="004C572A"/>
    <w:rsid w:val="004C6073"/>
    <w:rsid w:val="004D26C2"/>
    <w:rsid w:val="004D7B9E"/>
    <w:rsid w:val="004E10DD"/>
    <w:rsid w:val="004E1B88"/>
    <w:rsid w:val="004E4360"/>
    <w:rsid w:val="004E6317"/>
    <w:rsid w:val="004F0108"/>
    <w:rsid w:val="004F0439"/>
    <w:rsid w:val="004F1655"/>
    <w:rsid w:val="004F27A9"/>
    <w:rsid w:val="004F3BB1"/>
    <w:rsid w:val="004F4C4C"/>
    <w:rsid w:val="004F4CB2"/>
    <w:rsid w:val="004F662B"/>
    <w:rsid w:val="004F69B8"/>
    <w:rsid w:val="0050234F"/>
    <w:rsid w:val="00502978"/>
    <w:rsid w:val="00502DB2"/>
    <w:rsid w:val="00504902"/>
    <w:rsid w:val="00506636"/>
    <w:rsid w:val="00507B7A"/>
    <w:rsid w:val="00510795"/>
    <w:rsid w:val="00512281"/>
    <w:rsid w:val="0051260E"/>
    <w:rsid w:val="005154BE"/>
    <w:rsid w:val="00516F78"/>
    <w:rsid w:val="00517603"/>
    <w:rsid w:val="00523131"/>
    <w:rsid w:val="00523D33"/>
    <w:rsid w:val="00523EE0"/>
    <w:rsid w:val="00524634"/>
    <w:rsid w:val="005250A0"/>
    <w:rsid w:val="005251D3"/>
    <w:rsid w:val="00526B35"/>
    <w:rsid w:val="00531B5F"/>
    <w:rsid w:val="00534484"/>
    <w:rsid w:val="0054228E"/>
    <w:rsid w:val="00543246"/>
    <w:rsid w:val="00544E4D"/>
    <w:rsid w:val="00545AF9"/>
    <w:rsid w:val="00547A57"/>
    <w:rsid w:val="0055030A"/>
    <w:rsid w:val="005512B9"/>
    <w:rsid w:val="005518F7"/>
    <w:rsid w:val="0055511B"/>
    <w:rsid w:val="00556643"/>
    <w:rsid w:val="00564A42"/>
    <w:rsid w:val="00564D74"/>
    <w:rsid w:val="00572A01"/>
    <w:rsid w:val="00573930"/>
    <w:rsid w:val="00573A98"/>
    <w:rsid w:val="00573AC8"/>
    <w:rsid w:val="0057570C"/>
    <w:rsid w:val="00577A45"/>
    <w:rsid w:val="005806CD"/>
    <w:rsid w:val="00583096"/>
    <w:rsid w:val="005905B3"/>
    <w:rsid w:val="005912ED"/>
    <w:rsid w:val="00591D69"/>
    <w:rsid w:val="0059372E"/>
    <w:rsid w:val="005947B0"/>
    <w:rsid w:val="0059544A"/>
    <w:rsid w:val="005A3422"/>
    <w:rsid w:val="005B011E"/>
    <w:rsid w:val="005B019F"/>
    <w:rsid w:val="005B0574"/>
    <w:rsid w:val="005C24D5"/>
    <w:rsid w:val="005C2BFE"/>
    <w:rsid w:val="005C3395"/>
    <w:rsid w:val="005C3553"/>
    <w:rsid w:val="005C4E92"/>
    <w:rsid w:val="005D29D3"/>
    <w:rsid w:val="005D3461"/>
    <w:rsid w:val="005D41E9"/>
    <w:rsid w:val="005E0528"/>
    <w:rsid w:val="005E0D23"/>
    <w:rsid w:val="005E1380"/>
    <w:rsid w:val="005E4483"/>
    <w:rsid w:val="005E4E7A"/>
    <w:rsid w:val="005F2EBD"/>
    <w:rsid w:val="00600E38"/>
    <w:rsid w:val="006015BF"/>
    <w:rsid w:val="006020A5"/>
    <w:rsid w:val="0061036B"/>
    <w:rsid w:val="00610559"/>
    <w:rsid w:val="00620EB3"/>
    <w:rsid w:val="006227E0"/>
    <w:rsid w:val="0063634A"/>
    <w:rsid w:val="00637349"/>
    <w:rsid w:val="00644ABD"/>
    <w:rsid w:val="00645F63"/>
    <w:rsid w:val="006466B3"/>
    <w:rsid w:val="00652E18"/>
    <w:rsid w:val="00660715"/>
    <w:rsid w:val="006617D1"/>
    <w:rsid w:val="006662D0"/>
    <w:rsid w:val="00667745"/>
    <w:rsid w:val="006719CB"/>
    <w:rsid w:val="00671FCE"/>
    <w:rsid w:val="00675403"/>
    <w:rsid w:val="00675BE8"/>
    <w:rsid w:val="006765F6"/>
    <w:rsid w:val="00676798"/>
    <w:rsid w:val="0067742B"/>
    <w:rsid w:val="006802A0"/>
    <w:rsid w:val="006809AE"/>
    <w:rsid w:val="00683B23"/>
    <w:rsid w:val="00686AE9"/>
    <w:rsid w:val="0069105C"/>
    <w:rsid w:val="006A0198"/>
    <w:rsid w:val="006A02BD"/>
    <w:rsid w:val="006A1489"/>
    <w:rsid w:val="006A1C4A"/>
    <w:rsid w:val="006A1F60"/>
    <w:rsid w:val="006A20C7"/>
    <w:rsid w:val="006B0E13"/>
    <w:rsid w:val="006B11D9"/>
    <w:rsid w:val="006B14B5"/>
    <w:rsid w:val="006B21F3"/>
    <w:rsid w:val="006B2431"/>
    <w:rsid w:val="006B250D"/>
    <w:rsid w:val="006B6AEF"/>
    <w:rsid w:val="006C32AE"/>
    <w:rsid w:val="006C4D76"/>
    <w:rsid w:val="006C61C8"/>
    <w:rsid w:val="006C65A8"/>
    <w:rsid w:val="006C7F24"/>
    <w:rsid w:val="006D188A"/>
    <w:rsid w:val="006D2A72"/>
    <w:rsid w:val="006E1190"/>
    <w:rsid w:val="006E16F5"/>
    <w:rsid w:val="006E39F5"/>
    <w:rsid w:val="006E7E93"/>
    <w:rsid w:val="006F19B6"/>
    <w:rsid w:val="006F30B8"/>
    <w:rsid w:val="006F5866"/>
    <w:rsid w:val="006F760E"/>
    <w:rsid w:val="00701436"/>
    <w:rsid w:val="0070311B"/>
    <w:rsid w:val="00703439"/>
    <w:rsid w:val="007079CE"/>
    <w:rsid w:val="00710A15"/>
    <w:rsid w:val="00710C27"/>
    <w:rsid w:val="00712B81"/>
    <w:rsid w:val="00714BEC"/>
    <w:rsid w:val="007218F4"/>
    <w:rsid w:val="00723489"/>
    <w:rsid w:val="00730973"/>
    <w:rsid w:val="0073169E"/>
    <w:rsid w:val="00733F6E"/>
    <w:rsid w:val="00734112"/>
    <w:rsid w:val="0073465A"/>
    <w:rsid w:val="00735576"/>
    <w:rsid w:val="00744469"/>
    <w:rsid w:val="007465E2"/>
    <w:rsid w:val="00750BCC"/>
    <w:rsid w:val="00750E3A"/>
    <w:rsid w:val="007566F8"/>
    <w:rsid w:val="007575EE"/>
    <w:rsid w:val="00757ED6"/>
    <w:rsid w:val="00760102"/>
    <w:rsid w:val="00760DD1"/>
    <w:rsid w:val="007668AA"/>
    <w:rsid w:val="00775622"/>
    <w:rsid w:val="0078181A"/>
    <w:rsid w:val="0078382E"/>
    <w:rsid w:val="00783907"/>
    <w:rsid w:val="00784208"/>
    <w:rsid w:val="00786F2A"/>
    <w:rsid w:val="00787033"/>
    <w:rsid w:val="007879B8"/>
    <w:rsid w:val="007942A7"/>
    <w:rsid w:val="0079728A"/>
    <w:rsid w:val="00797474"/>
    <w:rsid w:val="007A0842"/>
    <w:rsid w:val="007A1171"/>
    <w:rsid w:val="007B03E2"/>
    <w:rsid w:val="007B3DF3"/>
    <w:rsid w:val="007B4A4A"/>
    <w:rsid w:val="007B61BA"/>
    <w:rsid w:val="007B6710"/>
    <w:rsid w:val="007D2BA4"/>
    <w:rsid w:val="007D47F5"/>
    <w:rsid w:val="007D6C20"/>
    <w:rsid w:val="007E0D14"/>
    <w:rsid w:val="007E2F3C"/>
    <w:rsid w:val="007E509A"/>
    <w:rsid w:val="007F00B9"/>
    <w:rsid w:val="007F12D8"/>
    <w:rsid w:val="007F5138"/>
    <w:rsid w:val="007F5841"/>
    <w:rsid w:val="007F5E89"/>
    <w:rsid w:val="00801786"/>
    <w:rsid w:val="008029DA"/>
    <w:rsid w:val="00803C68"/>
    <w:rsid w:val="00805BA7"/>
    <w:rsid w:val="00806485"/>
    <w:rsid w:val="008074F0"/>
    <w:rsid w:val="00810343"/>
    <w:rsid w:val="00814E9D"/>
    <w:rsid w:val="00825957"/>
    <w:rsid w:val="00826482"/>
    <w:rsid w:val="008268C7"/>
    <w:rsid w:val="00830C79"/>
    <w:rsid w:val="0083195E"/>
    <w:rsid w:val="00833375"/>
    <w:rsid w:val="008348BF"/>
    <w:rsid w:val="00841132"/>
    <w:rsid w:val="00843FE7"/>
    <w:rsid w:val="00844581"/>
    <w:rsid w:val="008445B4"/>
    <w:rsid w:val="008450E7"/>
    <w:rsid w:val="00845332"/>
    <w:rsid w:val="00845753"/>
    <w:rsid w:val="008462D2"/>
    <w:rsid w:val="008469A9"/>
    <w:rsid w:val="00846E9C"/>
    <w:rsid w:val="008546EF"/>
    <w:rsid w:val="00855E75"/>
    <w:rsid w:val="00856FF9"/>
    <w:rsid w:val="008620E9"/>
    <w:rsid w:val="008702AE"/>
    <w:rsid w:val="00874288"/>
    <w:rsid w:val="0087512B"/>
    <w:rsid w:val="0087608D"/>
    <w:rsid w:val="00877AE7"/>
    <w:rsid w:val="00881257"/>
    <w:rsid w:val="00884F7A"/>
    <w:rsid w:val="008A03B3"/>
    <w:rsid w:val="008A07F9"/>
    <w:rsid w:val="008A104E"/>
    <w:rsid w:val="008A2EF7"/>
    <w:rsid w:val="008A3B8F"/>
    <w:rsid w:val="008A5138"/>
    <w:rsid w:val="008A739A"/>
    <w:rsid w:val="008B0368"/>
    <w:rsid w:val="008B0A27"/>
    <w:rsid w:val="008B0D7C"/>
    <w:rsid w:val="008B13EB"/>
    <w:rsid w:val="008B4ECB"/>
    <w:rsid w:val="008B6DCC"/>
    <w:rsid w:val="008C02BD"/>
    <w:rsid w:val="008C32AA"/>
    <w:rsid w:val="008C3555"/>
    <w:rsid w:val="008C3619"/>
    <w:rsid w:val="008C48D3"/>
    <w:rsid w:val="008D03EE"/>
    <w:rsid w:val="008D0F49"/>
    <w:rsid w:val="008D340B"/>
    <w:rsid w:val="008D3788"/>
    <w:rsid w:val="008D5393"/>
    <w:rsid w:val="008D6038"/>
    <w:rsid w:val="008D67D6"/>
    <w:rsid w:val="008D7043"/>
    <w:rsid w:val="008E4AA6"/>
    <w:rsid w:val="008E4BC1"/>
    <w:rsid w:val="008E6D45"/>
    <w:rsid w:val="008E7300"/>
    <w:rsid w:val="008F05B3"/>
    <w:rsid w:val="008F0708"/>
    <w:rsid w:val="008F3267"/>
    <w:rsid w:val="008F5FB5"/>
    <w:rsid w:val="009006D4"/>
    <w:rsid w:val="0090121F"/>
    <w:rsid w:val="00901E43"/>
    <w:rsid w:val="009051E5"/>
    <w:rsid w:val="009069C9"/>
    <w:rsid w:val="0091114C"/>
    <w:rsid w:val="00911405"/>
    <w:rsid w:val="00911C34"/>
    <w:rsid w:val="00912CED"/>
    <w:rsid w:val="00914937"/>
    <w:rsid w:val="00915074"/>
    <w:rsid w:val="009166A1"/>
    <w:rsid w:val="0092056D"/>
    <w:rsid w:val="00920FEE"/>
    <w:rsid w:val="00921F27"/>
    <w:rsid w:val="00922B29"/>
    <w:rsid w:val="00924254"/>
    <w:rsid w:val="00927936"/>
    <w:rsid w:val="00934D91"/>
    <w:rsid w:val="0093599D"/>
    <w:rsid w:val="00937677"/>
    <w:rsid w:val="00941419"/>
    <w:rsid w:val="0094546F"/>
    <w:rsid w:val="009456B0"/>
    <w:rsid w:val="00945C0D"/>
    <w:rsid w:val="00946768"/>
    <w:rsid w:val="009473AA"/>
    <w:rsid w:val="00947DB3"/>
    <w:rsid w:val="00947FEB"/>
    <w:rsid w:val="00950437"/>
    <w:rsid w:val="00951AB5"/>
    <w:rsid w:val="00952F80"/>
    <w:rsid w:val="00954EAD"/>
    <w:rsid w:val="009562D6"/>
    <w:rsid w:val="00956BD4"/>
    <w:rsid w:val="00956C51"/>
    <w:rsid w:val="009578CF"/>
    <w:rsid w:val="00957F2E"/>
    <w:rsid w:val="0096021E"/>
    <w:rsid w:val="009602E1"/>
    <w:rsid w:val="00960706"/>
    <w:rsid w:val="009609FE"/>
    <w:rsid w:val="00966A0E"/>
    <w:rsid w:val="00966D37"/>
    <w:rsid w:val="00970C71"/>
    <w:rsid w:val="009723D1"/>
    <w:rsid w:val="00972722"/>
    <w:rsid w:val="00974F27"/>
    <w:rsid w:val="009751EE"/>
    <w:rsid w:val="00975F74"/>
    <w:rsid w:val="00981DA0"/>
    <w:rsid w:val="009829E2"/>
    <w:rsid w:val="009838D1"/>
    <w:rsid w:val="00984D4B"/>
    <w:rsid w:val="009851A6"/>
    <w:rsid w:val="009945D3"/>
    <w:rsid w:val="00996C5D"/>
    <w:rsid w:val="009A1E68"/>
    <w:rsid w:val="009A1F6B"/>
    <w:rsid w:val="009A2B6E"/>
    <w:rsid w:val="009A3BA8"/>
    <w:rsid w:val="009A40B3"/>
    <w:rsid w:val="009A51DE"/>
    <w:rsid w:val="009A65C0"/>
    <w:rsid w:val="009A6960"/>
    <w:rsid w:val="009A698E"/>
    <w:rsid w:val="009B0878"/>
    <w:rsid w:val="009B2520"/>
    <w:rsid w:val="009B2E04"/>
    <w:rsid w:val="009B3730"/>
    <w:rsid w:val="009B7531"/>
    <w:rsid w:val="009C1820"/>
    <w:rsid w:val="009C48AF"/>
    <w:rsid w:val="009C655F"/>
    <w:rsid w:val="009C768F"/>
    <w:rsid w:val="009D130D"/>
    <w:rsid w:val="009D25F4"/>
    <w:rsid w:val="009D528B"/>
    <w:rsid w:val="009D656C"/>
    <w:rsid w:val="009D722E"/>
    <w:rsid w:val="009D7CCE"/>
    <w:rsid w:val="009E02AF"/>
    <w:rsid w:val="009E1440"/>
    <w:rsid w:val="009E2829"/>
    <w:rsid w:val="009E35A3"/>
    <w:rsid w:val="009E6CD1"/>
    <w:rsid w:val="009E75EE"/>
    <w:rsid w:val="009F1BA8"/>
    <w:rsid w:val="009F4345"/>
    <w:rsid w:val="009F5C15"/>
    <w:rsid w:val="00A00384"/>
    <w:rsid w:val="00A00955"/>
    <w:rsid w:val="00A0362F"/>
    <w:rsid w:val="00A062F1"/>
    <w:rsid w:val="00A06830"/>
    <w:rsid w:val="00A12A80"/>
    <w:rsid w:val="00A15CDA"/>
    <w:rsid w:val="00A1631F"/>
    <w:rsid w:val="00A16447"/>
    <w:rsid w:val="00A17224"/>
    <w:rsid w:val="00A17848"/>
    <w:rsid w:val="00A17EFB"/>
    <w:rsid w:val="00A21D8F"/>
    <w:rsid w:val="00A23ED0"/>
    <w:rsid w:val="00A25120"/>
    <w:rsid w:val="00A32565"/>
    <w:rsid w:val="00A328D2"/>
    <w:rsid w:val="00A35168"/>
    <w:rsid w:val="00A35374"/>
    <w:rsid w:val="00A364D9"/>
    <w:rsid w:val="00A43252"/>
    <w:rsid w:val="00A43881"/>
    <w:rsid w:val="00A452ED"/>
    <w:rsid w:val="00A45572"/>
    <w:rsid w:val="00A466F1"/>
    <w:rsid w:val="00A572C0"/>
    <w:rsid w:val="00A576DD"/>
    <w:rsid w:val="00A57839"/>
    <w:rsid w:val="00A6068A"/>
    <w:rsid w:val="00A60CBC"/>
    <w:rsid w:val="00A6146F"/>
    <w:rsid w:val="00A61478"/>
    <w:rsid w:val="00A61566"/>
    <w:rsid w:val="00A61D47"/>
    <w:rsid w:val="00A6201A"/>
    <w:rsid w:val="00A6382E"/>
    <w:rsid w:val="00A67959"/>
    <w:rsid w:val="00A70356"/>
    <w:rsid w:val="00A70E4B"/>
    <w:rsid w:val="00A7245D"/>
    <w:rsid w:val="00A73255"/>
    <w:rsid w:val="00A747E8"/>
    <w:rsid w:val="00A76494"/>
    <w:rsid w:val="00A81F2B"/>
    <w:rsid w:val="00A84619"/>
    <w:rsid w:val="00A91029"/>
    <w:rsid w:val="00A92624"/>
    <w:rsid w:val="00A95279"/>
    <w:rsid w:val="00A96CB5"/>
    <w:rsid w:val="00A973F0"/>
    <w:rsid w:val="00AA3DD5"/>
    <w:rsid w:val="00AA75D7"/>
    <w:rsid w:val="00AB1CFE"/>
    <w:rsid w:val="00AB2364"/>
    <w:rsid w:val="00AB3BBB"/>
    <w:rsid w:val="00AC2527"/>
    <w:rsid w:val="00AD0E66"/>
    <w:rsid w:val="00AD3E6D"/>
    <w:rsid w:val="00AD7284"/>
    <w:rsid w:val="00AE0590"/>
    <w:rsid w:val="00AE0D68"/>
    <w:rsid w:val="00AE203D"/>
    <w:rsid w:val="00AE2606"/>
    <w:rsid w:val="00AE3F19"/>
    <w:rsid w:val="00AE5E80"/>
    <w:rsid w:val="00AE79E2"/>
    <w:rsid w:val="00AF03CD"/>
    <w:rsid w:val="00AF53C0"/>
    <w:rsid w:val="00B04A32"/>
    <w:rsid w:val="00B100F3"/>
    <w:rsid w:val="00B1024B"/>
    <w:rsid w:val="00B10A7E"/>
    <w:rsid w:val="00B11EB8"/>
    <w:rsid w:val="00B160B2"/>
    <w:rsid w:val="00B21BEF"/>
    <w:rsid w:val="00B23436"/>
    <w:rsid w:val="00B2583B"/>
    <w:rsid w:val="00B27092"/>
    <w:rsid w:val="00B27102"/>
    <w:rsid w:val="00B27BBA"/>
    <w:rsid w:val="00B332CA"/>
    <w:rsid w:val="00B338D9"/>
    <w:rsid w:val="00B36A22"/>
    <w:rsid w:val="00B3776C"/>
    <w:rsid w:val="00B40401"/>
    <w:rsid w:val="00B426DE"/>
    <w:rsid w:val="00B4403C"/>
    <w:rsid w:val="00B472AC"/>
    <w:rsid w:val="00B47E43"/>
    <w:rsid w:val="00B50286"/>
    <w:rsid w:val="00B52381"/>
    <w:rsid w:val="00B53ED1"/>
    <w:rsid w:val="00B54BCF"/>
    <w:rsid w:val="00B617ED"/>
    <w:rsid w:val="00B61A22"/>
    <w:rsid w:val="00B62FA1"/>
    <w:rsid w:val="00B64F6C"/>
    <w:rsid w:val="00B6740F"/>
    <w:rsid w:val="00B72F31"/>
    <w:rsid w:val="00B733FD"/>
    <w:rsid w:val="00B7366E"/>
    <w:rsid w:val="00B7518C"/>
    <w:rsid w:val="00B7774D"/>
    <w:rsid w:val="00B80122"/>
    <w:rsid w:val="00B81145"/>
    <w:rsid w:val="00B84B2E"/>
    <w:rsid w:val="00B86866"/>
    <w:rsid w:val="00B875FE"/>
    <w:rsid w:val="00B931D7"/>
    <w:rsid w:val="00B94B37"/>
    <w:rsid w:val="00B94CCB"/>
    <w:rsid w:val="00B96201"/>
    <w:rsid w:val="00B9670B"/>
    <w:rsid w:val="00BA14E9"/>
    <w:rsid w:val="00BA1EB3"/>
    <w:rsid w:val="00BB1C82"/>
    <w:rsid w:val="00BB21C5"/>
    <w:rsid w:val="00BB2A84"/>
    <w:rsid w:val="00BB4F29"/>
    <w:rsid w:val="00BB7DB1"/>
    <w:rsid w:val="00BC1663"/>
    <w:rsid w:val="00BC1B5D"/>
    <w:rsid w:val="00BC27FC"/>
    <w:rsid w:val="00BC3958"/>
    <w:rsid w:val="00BC6701"/>
    <w:rsid w:val="00BC6A7F"/>
    <w:rsid w:val="00BC712C"/>
    <w:rsid w:val="00BD59DB"/>
    <w:rsid w:val="00BD7843"/>
    <w:rsid w:val="00BD7C60"/>
    <w:rsid w:val="00BE03DD"/>
    <w:rsid w:val="00BE1E1C"/>
    <w:rsid w:val="00BE2A01"/>
    <w:rsid w:val="00BE4F33"/>
    <w:rsid w:val="00BE73C9"/>
    <w:rsid w:val="00BF0280"/>
    <w:rsid w:val="00BF2FB2"/>
    <w:rsid w:val="00BF3384"/>
    <w:rsid w:val="00BF441B"/>
    <w:rsid w:val="00BF6DE1"/>
    <w:rsid w:val="00BF74B0"/>
    <w:rsid w:val="00C00F9B"/>
    <w:rsid w:val="00C0165D"/>
    <w:rsid w:val="00C0178A"/>
    <w:rsid w:val="00C01DBE"/>
    <w:rsid w:val="00C045BD"/>
    <w:rsid w:val="00C05F18"/>
    <w:rsid w:val="00C0652F"/>
    <w:rsid w:val="00C136B6"/>
    <w:rsid w:val="00C13A05"/>
    <w:rsid w:val="00C15811"/>
    <w:rsid w:val="00C17175"/>
    <w:rsid w:val="00C21A53"/>
    <w:rsid w:val="00C23A30"/>
    <w:rsid w:val="00C246A5"/>
    <w:rsid w:val="00C25344"/>
    <w:rsid w:val="00C27BB4"/>
    <w:rsid w:val="00C344C1"/>
    <w:rsid w:val="00C35117"/>
    <w:rsid w:val="00C370BB"/>
    <w:rsid w:val="00C413D3"/>
    <w:rsid w:val="00C43908"/>
    <w:rsid w:val="00C46513"/>
    <w:rsid w:val="00C47255"/>
    <w:rsid w:val="00C473ED"/>
    <w:rsid w:val="00C51307"/>
    <w:rsid w:val="00C52D33"/>
    <w:rsid w:val="00C552EC"/>
    <w:rsid w:val="00C57987"/>
    <w:rsid w:val="00C579BE"/>
    <w:rsid w:val="00C614F5"/>
    <w:rsid w:val="00C643A2"/>
    <w:rsid w:val="00C65644"/>
    <w:rsid w:val="00C658F7"/>
    <w:rsid w:val="00C70ADD"/>
    <w:rsid w:val="00C71184"/>
    <w:rsid w:val="00C71527"/>
    <w:rsid w:val="00C72AFB"/>
    <w:rsid w:val="00C76FD2"/>
    <w:rsid w:val="00C77FF3"/>
    <w:rsid w:val="00C81594"/>
    <w:rsid w:val="00C815EA"/>
    <w:rsid w:val="00C82D4A"/>
    <w:rsid w:val="00C90031"/>
    <w:rsid w:val="00C916EB"/>
    <w:rsid w:val="00C922DC"/>
    <w:rsid w:val="00C93F6C"/>
    <w:rsid w:val="00C95C06"/>
    <w:rsid w:val="00CA21AA"/>
    <w:rsid w:val="00CA5106"/>
    <w:rsid w:val="00CA635A"/>
    <w:rsid w:val="00CB19C1"/>
    <w:rsid w:val="00CB45FC"/>
    <w:rsid w:val="00CB5A8C"/>
    <w:rsid w:val="00CB66FE"/>
    <w:rsid w:val="00CC1ADB"/>
    <w:rsid w:val="00CC3477"/>
    <w:rsid w:val="00CC51BF"/>
    <w:rsid w:val="00CC5454"/>
    <w:rsid w:val="00CC7172"/>
    <w:rsid w:val="00CD1531"/>
    <w:rsid w:val="00CD256A"/>
    <w:rsid w:val="00CD368F"/>
    <w:rsid w:val="00CD466B"/>
    <w:rsid w:val="00CD6659"/>
    <w:rsid w:val="00CD6709"/>
    <w:rsid w:val="00CE1CFA"/>
    <w:rsid w:val="00CE2F06"/>
    <w:rsid w:val="00CE79BF"/>
    <w:rsid w:val="00CE7B65"/>
    <w:rsid w:val="00CF162C"/>
    <w:rsid w:val="00CF531B"/>
    <w:rsid w:val="00CF6881"/>
    <w:rsid w:val="00D0082A"/>
    <w:rsid w:val="00D00FC4"/>
    <w:rsid w:val="00D04DF4"/>
    <w:rsid w:val="00D051C3"/>
    <w:rsid w:val="00D05459"/>
    <w:rsid w:val="00D05507"/>
    <w:rsid w:val="00D10CA8"/>
    <w:rsid w:val="00D11E3A"/>
    <w:rsid w:val="00D16091"/>
    <w:rsid w:val="00D164DF"/>
    <w:rsid w:val="00D17D5C"/>
    <w:rsid w:val="00D217DB"/>
    <w:rsid w:val="00D222B2"/>
    <w:rsid w:val="00D222E5"/>
    <w:rsid w:val="00D2389C"/>
    <w:rsid w:val="00D23FD0"/>
    <w:rsid w:val="00D2581F"/>
    <w:rsid w:val="00D26390"/>
    <w:rsid w:val="00D26ECB"/>
    <w:rsid w:val="00D2700E"/>
    <w:rsid w:val="00D3114A"/>
    <w:rsid w:val="00D31704"/>
    <w:rsid w:val="00D33BA2"/>
    <w:rsid w:val="00D33BCB"/>
    <w:rsid w:val="00D35BC7"/>
    <w:rsid w:val="00D35DF3"/>
    <w:rsid w:val="00D40523"/>
    <w:rsid w:val="00D413E8"/>
    <w:rsid w:val="00D44316"/>
    <w:rsid w:val="00D44C9E"/>
    <w:rsid w:val="00D4513C"/>
    <w:rsid w:val="00D45A46"/>
    <w:rsid w:val="00D4604E"/>
    <w:rsid w:val="00D46444"/>
    <w:rsid w:val="00D51500"/>
    <w:rsid w:val="00D51678"/>
    <w:rsid w:val="00D52FED"/>
    <w:rsid w:val="00D558DA"/>
    <w:rsid w:val="00D5608C"/>
    <w:rsid w:val="00D610A4"/>
    <w:rsid w:val="00D649B5"/>
    <w:rsid w:val="00D64F97"/>
    <w:rsid w:val="00D664C3"/>
    <w:rsid w:val="00D66A7F"/>
    <w:rsid w:val="00D70F79"/>
    <w:rsid w:val="00D71643"/>
    <w:rsid w:val="00D7260F"/>
    <w:rsid w:val="00D7768F"/>
    <w:rsid w:val="00D80FBB"/>
    <w:rsid w:val="00D85E91"/>
    <w:rsid w:val="00D86A9F"/>
    <w:rsid w:val="00D91499"/>
    <w:rsid w:val="00D9218E"/>
    <w:rsid w:val="00D93A26"/>
    <w:rsid w:val="00DA3BBB"/>
    <w:rsid w:val="00DA4052"/>
    <w:rsid w:val="00DA441D"/>
    <w:rsid w:val="00DA7024"/>
    <w:rsid w:val="00DB01CA"/>
    <w:rsid w:val="00DB1408"/>
    <w:rsid w:val="00DB57BD"/>
    <w:rsid w:val="00DC0E2C"/>
    <w:rsid w:val="00DC1C7F"/>
    <w:rsid w:val="00DC1D18"/>
    <w:rsid w:val="00DC43BD"/>
    <w:rsid w:val="00DC56A5"/>
    <w:rsid w:val="00DD007F"/>
    <w:rsid w:val="00DD1CC8"/>
    <w:rsid w:val="00DD3154"/>
    <w:rsid w:val="00DD5F29"/>
    <w:rsid w:val="00DD6457"/>
    <w:rsid w:val="00DE0175"/>
    <w:rsid w:val="00DE1947"/>
    <w:rsid w:val="00DE3CA5"/>
    <w:rsid w:val="00DF2297"/>
    <w:rsid w:val="00DF45B5"/>
    <w:rsid w:val="00DF4E0A"/>
    <w:rsid w:val="00DF7D72"/>
    <w:rsid w:val="00E00575"/>
    <w:rsid w:val="00E01948"/>
    <w:rsid w:val="00E029CF"/>
    <w:rsid w:val="00E02E1B"/>
    <w:rsid w:val="00E059DF"/>
    <w:rsid w:val="00E123E0"/>
    <w:rsid w:val="00E1534C"/>
    <w:rsid w:val="00E20E7D"/>
    <w:rsid w:val="00E222C9"/>
    <w:rsid w:val="00E2629E"/>
    <w:rsid w:val="00E317A8"/>
    <w:rsid w:val="00E42C79"/>
    <w:rsid w:val="00E43B6A"/>
    <w:rsid w:val="00E43BED"/>
    <w:rsid w:val="00E44954"/>
    <w:rsid w:val="00E4630B"/>
    <w:rsid w:val="00E517EC"/>
    <w:rsid w:val="00E5487E"/>
    <w:rsid w:val="00E56E2E"/>
    <w:rsid w:val="00E715AB"/>
    <w:rsid w:val="00E77B65"/>
    <w:rsid w:val="00E8263B"/>
    <w:rsid w:val="00E832F6"/>
    <w:rsid w:val="00E87719"/>
    <w:rsid w:val="00E9005E"/>
    <w:rsid w:val="00E928CE"/>
    <w:rsid w:val="00E95DD0"/>
    <w:rsid w:val="00EA3CD8"/>
    <w:rsid w:val="00EA4132"/>
    <w:rsid w:val="00EA4860"/>
    <w:rsid w:val="00EA6077"/>
    <w:rsid w:val="00EA7A31"/>
    <w:rsid w:val="00EB01A2"/>
    <w:rsid w:val="00EB2E78"/>
    <w:rsid w:val="00EB5621"/>
    <w:rsid w:val="00EB6E90"/>
    <w:rsid w:val="00EC0246"/>
    <w:rsid w:val="00EC3CE7"/>
    <w:rsid w:val="00ED1D4A"/>
    <w:rsid w:val="00ED3942"/>
    <w:rsid w:val="00ED5187"/>
    <w:rsid w:val="00ED6FBD"/>
    <w:rsid w:val="00EE18A8"/>
    <w:rsid w:val="00EE4F98"/>
    <w:rsid w:val="00EE51A8"/>
    <w:rsid w:val="00EE7F32"/>
    <w:rsid w:val="00EF528C"/>
    <w:rsid w:val="00EF5E01"/>
    <w:rsid w:val="00EF617E"/>
    <w:rsid w:val="00EF7260"/>
    <w:rsid w:val="00EF72F3"/>
    <w:rsid w:val="00F0174B"/>
    <w:rsid w:val="00F01E58"/>
    <w:rsid w:val="00F020AE"/>
    <w:rsid w:val="00F0498F"/>
    <w:rsid w:val="00F0517B"/>
    <w:rsid w:val="00F065BA"/>
    <w:rsid w:val="00F117AF"/>
    <w:rsid w:val="00F1195D"/>
    <w:rsid w:val="00F17C3D"/>
    <w:rsid w:val="00F214D4"/>
    <w:rsid w:val="00F2284C"/>
    <w:rsid w:val="00F24325"/>
    <w:rsid w:val="00F24958"/>
    <w:rsid w:val="00F26B93"/>
    <w:rsid w:val="00F26EEE"/>
    <w:rsid w:val="00F33EFB"/>
    <w:rsid w:val="00F3451B"/>
    <w:rsid w:val="00F34C19"/>
    <w:rsid w:val="00F35300"/>
    <w:rsid w:val="00F40619"/>
    <w:rsid w:val="00F43B1B"/>
    <w:rsid w:val="00F50571"/>
    <w:rsid w:val="00F51FB8"/>
    <w:rsid w:val="00F52C1D"/>
    <w:rsid w:val="00F542C4"/>
    <w:rsid w:val="00F60E81"/>
    <w:rsid w:val="00F6230C"/>
    <w:rsid w:val="00F64E7F"/>
    <w:rsid w:val="00F6571A"/>
    <w:rsid w:val="00F65A3C"/>
    <w:rsid w:val="00F7114D"/>
    <w:rsid w:val="00F73119"/>
    <w:rsid w:val="00F75033"/>
    <w:rsid w:val="00F817A5"/>
    <w:rsid w:val="00F82950"/>
    <w:rsid w:val="00F833EA"/>
    <w:rsid w:val="00F87607"/>
    <w:rsid w:val="00F91663"/>
    <w:rsid w:val="00FA21BC"/>
    <w:rsid w:val="00FA4F70"/>
    <w:rsid w:val="00FA59C8"/>
    <w:rsid w:val="00FB342E"/>
    <w:rsid w:val="00FB45A6"/>
    <w:rsid w:val="00FB5F5C"/>
    <w:rsid w:val="00FB699E"/>
    <w:rsid w:val="00FC6BA3"/>
    <w:rsid w:val="00FC6D29"/>
    <w:rsid w:val="00FD1E8F"/>
    <w:rsid w:val="00FE26D1"/>
    <w:rsid w:val="00FE5A22"/>
    <w:rsid w:val="00FF085A"/>
    <w:rsid w:val="00FF0E6B"/>
    <w:rsid w:val="00FF38B0"/>
    <w:rsid w:val="00FF7F32"/>
    <w:rsid w:val="01E4105D"/>
    <w:rsid w:val="02073E10"/>
    <w:rsid w:val="02854EBE"/>
    <w:rsid w:val="02B3714D"/>
    <w:rsid w:val="037D7167"/>
    <w:rsid w:val="03A42D9E"/>
    <w:rsid w:val="03C46FD2"/>
    <w:rsid w:val="03DE6AA9"/>
    <w:rsid w:val="047E3CA7"/>
    <w:rsid w:val="049F2128"/>
    <w:rsid w:val="04C10823"/>
    <w:rsid w:val="054737F5"/>
    <w:rsid w:val="06041FA4"/>
    <w:rsid w:val="067C5DAE"/>
    <w:rsid w:val="06D64329"/>
    <w:rsid w:val="08326375"/>
    <w:rsid w:val="083729A1"/>
    <w:rsid w:val="083D5587"/>
    <w:rsid w:val="08AE0D00"/>
    <w:rsid w:val="09297778"/>
    <w:rsid w:val="09670FEC"/>
    <w:rsid w:val="0A9D7B69"/>
    <w:rsid w:val="0B1373DD"/>
    <w:rsid w:val="0B3B1F99"/>
    <w:rsid w:val="0BF751B0"/>
    <w:rsid w:val="0BF83BD7"/>
    <w:rsid w:val="0C0A1AE2"/>
    <w:rsid w:val="0C8353F1"/>
    <w:rsid w:val="0CA4373E"/>
    <w:rsid w:val="0CB35CD6"/>
    <w:rsid w:val="0CC60757"/>
    <w:rsid w:val="0D196DD8"/>
    <w:rsid w:val="0DB37F58"/>
    <w:rsid w:val="0DD66EC6"/>
    <w:rsid w:val="0DE64026"/>
    <w:rsid w:val="0E567313"/>
    <w:rsid w:val="0EBE2768"/>
    <w:rsid w:val="0ED80D13"/>
    <w:rsid w:val="0F1964BE"/>
    <w:rsid w:val="0F8275D7"/>
    <w:rsid w:val="0FC0066A"/>
    <w:rsid w:val="103A670E"/>
    <w:rsid w:val="11D24CE6"/>
    <w:rsid w:val="11E50A88"/>
    <w:rsid w:val="11FA43A7"/>
    <w:rsid w:val="126413CA"/>
    <w:rsid w:val="12695089"/>
    <w:rsid w:val="12CD4833"/>
    <w:rsid w:val="132D60B6"/>
    <w:rsid w:val="13407938"/>
    <w:rsid w:val="137E09B7"/>
    <w:rsid w:val="13BC71CB"/>
    <w:rsid w:val="13D03F23"/>
    <w:rsid w:val="13EB7EDC"/>
    <w:rsid w:val="14512D03"/>
    <w:rsid w:val="14BB7A06"/>
    <w:rsid w:val="14DB60FF"/>
    <w:rsid w:val="157053CC"/>
    <w:rsid w:val="16BE599D"/>
    <w:rsid w:val="173F4DDB"/>
    <w:rsid w:val="174C2786"/>
    <w:rsid w:val="17521661"/>
    <w:rsid w:val="1758737A"/>
    <w:rsid w:val="17956DF5"/>
    <w:rsid w:val="179D1B92"/>
    <w:rsid w:val="17BD11EB"/>
    <w:rsid w:val="17F02536"/>
    <w:rsid w:val="181C16C5"/>
    <w:rsid w:val="187B172D"/>
    <w:rsid w:val="188019AA"/>
    <w:rsid w:val="19033B41"/>
    <w:rsid w:val="194D300E"/>
    <w:rsid w:val="196E7087"/>
    <w:rsid w:val="19E33973"/>
    <w:rsid w:val="19FB7BD9"/>
    <w:rsid w:val="1A042DE4"/>
    <w:rsid w:val="1A5D3725"/>
    <w:rsid w:val="1A5F3845"/>
    <w:rsid w:val="1A8D1591"/>
    <w:rsid w:val="1AA44274"/>
    <w:rsid w:val="1AC1527C"/>
    <w:rsid w:val="1B32170E"/>
    <w:rsid w:val="1C951932"/>
    <w:rsid w:val="1CBC24D8"/>
    <w:rsid w:val="1CF108EC"/>
    <w:rsid w:val="1E027F7F"/>
    <w:rsid w:val="1E0E7789"/>
    <w:rsid w:val="1E407CEF"/>
    <w:rsid w:val="1EBA1146"/>
    <w:rsid w:val="1F9C742B"/>
    <w:rsid w:val="1FC77D38"/>
    <w:rsid w:val="200552D8"/>
    <w:rsid w:val="2019625D"/>
    <w:rsid w:val="201B5C14"/>
    <w:rsid w:val="203C04DE"/>
    <w:rsid w:val="20602C7A"/>
    <w:rsid w:val="21464B75"/>
    <w:rsid w:val="21EE5BE9"/>
    <w:rsid w:val="22903CB9"/>
    <w:rsid w:val="22905161"/>
    <w:rsid w:val="22C34341"/>
    <w:rsid w:val="22D47A98"/>
    <w:rsid w:val="231D2DCD"/>
    <w:rsid w:val="23E629DD"/>
    <w:rsid w:val="23EA7668"/>
    <w:rsid w:val="256B55B3"/>
    <w:rsid w:val="25855589"/>
    <w:rsid w:val="25950217"/>
    <w:rsid w:val="26030A2D"/>
    <w:rsid w:val="26160317"/>
    <w:rsid w:val="266329BD"/>
    <w:rsid w:val="27170AD5"/>
    <w:rsid w:val="272A41AD"/>
    <w:rsid w:val="272F01F7"/>
    <w:rsid w:val="274167AC"/>
    <w:rsid w:val="27BA5D13"/>
    <w:rsid w:val="27C46ADC"/>
    <w:rsid w:val="27C6290A"/>
    <w:rsid w:val="280C1053"/>
    <w:rsid w:val="28107EA6"/>
    <w:rsid w:val="289F2398"/>
    <w:rsid w:val="28B264BD"/>
    <w:rsid w:val="2A186D61"/>
    <w:rsid w:val="2A5801FC"/>
    <w:rsid w:val="2AE56264"/>
    <w:rsid w:val="2AEC3FCF"/>
    <w:rsid w:val="2B6A3455"/>
    <w:rsid w:val="2B8E663D"/>
    <w:rsid w:val="2C801445"/>
    <w:rsid w:val="2CC16AD4"/>
    <w:rsid w:val="2CF9108B"/>
    <w:rsid w:val="2D270422"/>
    <w:rsid w:val="2D5E1836"/>
    <w:rsid w:val="2E3424FF"/>
    <w:rsid w:val="2E7B137A"/>
    <w:rsid w:val="2EAC002B"/>
    <w:rsid w:val="2EE33B39"/>
    <w:rsid w:val="2EF3101B"/>
    <w:rsid w:val="2F4C6239"/>
    <w:rsid w:val="2FC35FA3"/>
    <w:rsid w:val="30136908"/>
    <w:rsid w:val="3045504A"/>
    <w:rsid w:val="3063681B"/>
    <w:rsid w:val="30FF50DE"/>
    <w:rsid w:val="314515D2"/>
    <w:rsid w:val="31794DCD"/>
    <w:rsid w:val="3235092C"/>
    <w:rsid w:val="32A72832"/>
    <w:rsid w:val="32C650A8"/>
    <w:rsid w:val="33FD0884"/>
    <w:rsid w:val="343B23CB"/>
    <w:rsid w:val="35BE714A"/>
    <w:rsid w:val="363F1E28"/>
    <w:rsid w:val="36714707"/>
    <w:rsid w:val="367B5F74"/>
    <w:rsid w:val="369714A0"/>
    <w:rsid w:val="36D44917"/>
    <w:rsid w:val="37893C91"/>
    <w:rsid w:val="37C511F6"/>
    <w:rsid w:val="383F1A4A"/>
    <w:rsid w:val="38514471"/>
    <w:rsid w:val="39965008"/>
    <w:rsid w:val="39FF7EFD"/>
    <w:rsid w:val="3A281F2C"/>
    <w:rsid w:val="3A86417A"/>
    <w:rsid w:val="3A9F4E8C"/>
    <w:rsid w:val="3B2D04B0"/>
    <w:rsid w:val="3BD17D95"/>
    <w:rsid w:val="3C9C3568"/>
    <w:rsid w:val="3D840617"/>
    <w:rsid w:val="3F504392"/>
    <w:rsid w:val="3FA85C06"/>
    <w:rsid w:val="3FC6632B"/>
    <w:rsid w:val="405D772B"/>
    <w:rsid w:val="40CE4185"/>
    <w:rsid w:val="40EE65D6"/>
    <w:rsid w:val="40EF04A8"/>
    <w:rsid w:val="4141022A"/>
    <w:rsid w:val="42FC75D2"/>
    <w:rsid w:val="432C269E"/>
    <w:rsid w:val="43D309F9"/>
    <w:rsid w:val="43E22422"/>
    <w:rsid w:val="4463567E"/>
    <w:rsid w:val="44953938"/>
    <w:rsid w:val="44BD4C3D"/>
    <w:rsid w:val="44E65F41"/>
    <w:rsid w:val="451E37A1"/>
    <w:rsid w:val="454A119E"/>
    <w:rsid w:val="45A46724"/>
    <w:rsid w:val="45EB14F6"/>
    <w:rsid w:val="46593BD4"/>
    <w:rsid w:val="46C91677"/>
    <w:rsid w:val="46F05292"/>
    <w:rsid w:val="473009C5"/>
    <w:rsid w:val="47422765"/>
    <w:rsid w:val="48AC0770"/>
    <w:rsid w:val="48C36EF4"/>
    <w:rsid w:val="494A5277"/>
    <w:rsid w:val="49503A71"/>
    <w:rsid w:val="499669F9"/>
    <w:rsid w:val="4A6D7928"/>
    <w:rsid w:val="4A8B785B"/>
    <w:rsid w:val="4A982070"/>
    <w:rsid w:val="4A9B0D3D"/>
    <w:rsid w:val="4ABA5EA6"/>
    <w:rsid w:val="4AC565F9"/>
    <w:rsid w:val="4B7129E6"/>
    <w:rsid w:val="4BA10E14"/>
    <w:rsid w:val="4BA46F79"/>
    <w:rsid w:val="4C5465C0"/>
    <w:rsid w:val="4CB776FD"/>
    <w:rsid w:val="4CDF0472"/>
    <w:rsid w:val="4CF56BF6"/>
    <w:rsid w:val="4D57296C"/>
    <w:rsid w:val="4D75644C"/>
    <w:rsid w:val="4DCA1F81"/>
    <w:rsid w:val="4DD642E3"/>
    <w:rsid w:val="4DDD09EC"/>
    <w:rsid w:val="4E5D237A"/>
    <w:rsid w:val="4ECE0172"/>
    <w:rsid w:val="4EDC3DF3"/>
    <w:rsid w:val="4F7226C3"/>
    <w:rsid w:val="4F936305"/>
    <w:rsid w:val="4FEB08B0"/>
    <w:rsid w:val="50CE1413"/>
    <w:rsid w:val="51087F55"/>
    <w:rsid w:val="510F569D"/>
    <w:rsid w:val="514915D8"/>
    <w:rsid w:val="5268268C"/>
    <w:rsid w:val="52952D55"/>
    <w:rsid w:val="52D15DB5"/>
    <w:rsid w:val="53332C34"/>
    <w:rsid w:val="53C953AC"/>
    <w:rsid w:val="540E7263"/>
    <w:rsid w:val="5412016C"/>
    <w:rsid w:val="545E3D46"/>
    <w:rsid w:val="546B1C78"/>
    <w:rsid w:val="54E73E54"/>
    <w:rsid w:val="5564351B"/>
    <w:rsid w:val="556B1011"/>
    <w:rsid w:val="55844002"/>
    <w:rsid w:val="558D768C"/>
    <w:rsid w:val="55A57293"/>
    <w:rsid w:val="55DD0D81"/>
    <w:rsid w:val="56560125"/>
    <w:rsid w:val="56C15EAB"/>
    <w:rsid w:val="57233025"/>
    <w:rsid w:val="573A5481"/>
    <w:rsid w:val="57743881"/>
    <w:rsid w:val="57D85BBE"/>
    <w:rsid w:val="57FD16AD"/>
    <w:rsid w:val="58042319"/>
    <w:rsid w:val="592D527B"/>
    <w:rsid w:val="59301A29"/>
    <w:rsid w:val="59540BED"/>
    <w:rsid w:val="599C6D35"/>
    <w:rsid w:val="59F52712"/>
    <w:rsid w:val="59F52B0A"/>
    <w:rsid w:val="5A4E03B9"/>
    <w:rsid w:val="5A63164C"/>
    <w:rsid w:val="5A6A4AC7"/>
    <w:rsid w:val="5A76387F"/>
    <w:rsid w:val="5AA51FA7"/>
    <w:rsid w:val="5AEE74A6"/>
    <w:rsid w:val="5BC425E5"/>
    <w:rsid w:val="5BF168B1"/>
    <w:rsid w:val="5BF42BBB"/>
    <w:rsid w:val="5C30522C"/>
    <w:rsid w:val="5C7D31D8"/>
    <w:rsid w:val="5CF55B0E"/>
    <w:rsid w:val="5E257683"/>
    <w:rsid w:val="5EAC22B0"/>
    <w:rsid w:val="5F26018A"/>
    <w:rsid w:val="5F265F01"/>
    <w:rsid w:val="6017783F"/>
    <w:rsid w:val="602816AC"/>
    <w:rsid w:val="60493806"/>
    <w:rsid w:val="608C1C3B"/>
    <w:rsid w:val="60B63C2E"/>
    <w:rsid w:val="60D3786A"/>
    <w:rsid w:val="613850AD"/>
    <w:rsid w:val="61620555"/>
    <w:rsid w:val="617A6171"/>
    <w:rsid w:val="619B57FA"/>
    <w:rsid w:val="61F25ADA"/>
    <w:rsid w:val="62286B9C"/>
    <w:rsid w:val="626B0E09"/>
    <w:rsid w:val="632E0D88"/>
    <w:rsid w:val="633778DF"/>
    <w:rsid w:val="643B3017"/>
    <w:rsid w:val="64467C11"/>
    <w:rsid w:val="647833A1"/>
    <w:rsid w:val="650277C6"/>
    <w:rsid w:val="65462486"/>
    <w:rsid w:val="65B74C7C"/>
    <w:rsid w:val="67523C88"/>
    <w:rsid w:val="67DF38C5"/>
    <w:rsid w:val="685B3C6C"/>
    <w:rsid w:val="695E0FD3"/>
    <w:rsid w:val="69685CD5"/>
    <w:rsid w:val="69E47E59"/>
    <w:rsid w:val="6AD87661"/>
    <w:rsid w:val="6B1B0FC1"/>
    <w:rsid w:val="6B1C51D6"/>
    <w:rsid w:val="6B416DAE"/>
    <w:rsid w:val="6B6C1877"/>
    <w:rsid w:val="6B777044"/>
    <w:rsid w:val="6B8F4DC3"/>
    <w:rsid w:val="6BCA6F9A"/>
    <w:rsid w:val="6BCD32E5"/>
    <w:rsid w:val="6C042FCD"/>
    <w:rsid w:val="6C3C6344"/>
    <w:rsid w:val="6D0D4545"/>
    <w:rsid w:val="6E251EBD"/>
    <w:rsid w:val="6E366ED5"/>
    <w:rsid w:val="6EA2593E"/>
    <w:rsid w:val="6EB43F07"/>
    <w:rsid w:val="6FEC53A8"/>
    <w:rsid w:val="70645AC8"/>
    <w:rsid w:val="706509A2"/>
    <w:rsid w:val="706758D9"/>
    <w:rsid w:val="70DA674F"/>
    <w:rsid w:val="70FE42A3"/>
    <w:rsid w:val="71730B7F"/>
    <w:rsid w:val="718814E9"/>
    <w:rsid w:val="71DD152F"/>
    <w:rsid w:val="71F112F5"/>
    <w:rsid w:val="72CC236B"/>
    <w:rsid w:val="72FC1BA9"/>
    <w:rsid w:val="7315536A"/>
    <w:rsid w:val="735C1616"/>
    <w:rsid w:val="73CA5EE0"/>
    <w:rsid w:val="74D04A86"/>
    <w:rsid w:val="74EF256D"/>
    <w:rsid w:val="75B31F51"/>
    <w:rsid w:val="7682521B"/>
    <w:rsid w:val="76CF1F31"/>
    <w:rsid w:val="76DA2684"/>
    <w:rsid w:val="76EF03D6"/>
    <w:rsid w:val="77771717"/>
    <w:rsid w:val="77B8295F"/>
    <w:rsid w:val="78585B1A"/>
    <w:rsid w:val="78D011FD"/>
    <w:rsid w:val="796702DD"/>
    <w:rsid w:val="79AA388F"/>
    <w:rsid w:val="79DB31C8"/>
    <w:rsid w:val="7A0A21FF"/>
    <w:rsid w:val="7A35118D"/>
    <w:rsid w:val="7A4F5A9C"/>
    <w:rsid w:val="7AEA5A84"/>
    <w:rsid w:val="7B797264"/>
    <w:rsid w:val="7BA7338D"/>
    <w:rsid w:val="7BDD351E"/>
    <w:rsid w:val="7CF22729"/>
    <w:rsid w:val="7D3354C1"/>
    <w:rsid w:val="7D8D561D"/>
    <w:rsid w:val="7DDF3D91"/>
    <w:rsid w:val="7E6C1B17"/>
    <w:rsid w:val="7F081607"/>
    <w:rsid w:val="7F92418F"/>
    <w:rsid w:val="7FA21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0"/>
    <w:pPr>
      <w:jc w:val="left"/>
    </w:pPr>
  </w:style>
  <w:style w:type="paragraph" w:styleId="3">
    <w:name w:val="Body Text"/>
    <w:basedOn w:val="1"/>
    <w:next w:val="1"/>
    <w:qFormat/>
    <w:uiPriority w:val="0"/>
    <w:pPr>
      <w:spacing w:after="140" w:line="276" w:lineRule="auto"/>
    </w:pPr>
  </w:style>
  <w:style w:type="paragraph" w:styleId="4">
    <w:name w:val="Balloon Text"/>
    <w:basedOn w:val="1"/>
    <w:link w:val="24"/>
    <w:semiHidden/>
    <w:unhideWhenUsed/>
    <w:qFormat/>
    <w:uiPriority w:val="99"/>
    <w:rPr>
      <w:sz w:val="18"/>
      <w:szCs w:val="18"/>
    </w:rPr>
  </w:style>
  <w:style w:type="paragraph" w:styleId="5">
    <w:name w:val="footer"/>
    <w:basedOn w:val="1"/>
    <w:link w:val="20"/>
    <w:qFormat/>
    <w:uiPriority w:val="99"/>
    <w:pPr>
      <w:tabs>
        <w:tab w:val="center" w:pos="4153"/>
        <w:tab w:val="right" w:pos="8306"/>
      </w:tabs>
      <w:snapToGrid w:val="0"/>
      <w:jc w:val="left"/>
    </w:pPr>
    <w:rPr>
      <w:sz w:val="18"/>
      <w:szCs w:val="20"/>
    </w:rPr>
  </w:style>
  <w:style w:type="paragraph" w:styleId="6">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8296"/>
      </w:tabs>
      <w:adjustRightInd w:val="0"/>
      <w:snapToGrid w:val="0"/>
      <w:spacing w:line="360" w:lineRule="auto"/>
    </w:pPr>
  </w:style>
  <w:style w:type="paragraph" w:styleId="8">
    <w:name w:val="footnote text"/>
    <w:basedOn w:val="1"/>
    <w:link w:val="27"/>
    <w:semiHidden/>
    <w:unhideWhenUsed/>
    <w:qFormat/>
    <w:uiPriority w:val="99"/>
    <w:pPr>
      <w:snapToGrid w:val="0"/>
      <w:jc w:val="left"/>
    </w:pPr>
    <w:rPr>
      <w:sz w:val="18"/>
      <w:szCs w:val="18"/>
    </w:rPr>
  </w:style>
  <w:style w:type="paragraph" w:styleId="9">
    <w:name w:val="toc 2"/>
    <w:basedOn w:val="1"/>
    <w:next w:val="1"/>
    <w:unhideWhenUsed/>
    <w:qFormat/>
    <w:uiPriority w:val="39"/>
    <w:pPr>
      <w:ind w:left="420" w:leftChars="200"/>
    </w:pPr>
  </w:style>
  <w:style w:type="paragraph" w:styleId="10">
    <w:name w:val="Normal (Web)"/>
    <w:basedOn w:val="1"/>
    <w:unhideWhenUsed/>
    <w:qFormat/>
    <w:uiPriority w:val="0"/>
    <w:pPr>
      <w:widowControl/>
      <w:adjustRightInd w:val="0"/>
      <w:snapToGrid w:val="0"/>
      <w:spacing w:before="100" w:beforeAutospacing="1" w:after="100" w:afterAutospacing="1" w:line="360" w:lineRule="auto"/>
      <w:ind w:firstLine="1040" w:firstLineChars="200"/>
      <w:jc w:val="left"/>
    </w:pPr>
    <w:rPr>
      <w:rFonts w:ascii="宋体" w:hAnsi="宋体" w:cs="宋体"/>
      <w:kern w:val="0"/>
      <w:sz w:val="24"/>
    </w:rPr>
  </w:style>
  <w:style w:type="paragraph" w:styleId="11">
    <w:name w:val="Title"/>
    <w:basedOn w:val="1"/>
    <w:next w:val="1"/>
    <w:qFormat/>
    <w:uiPriority w:val="10"/>
    <w:pPr>
      <w:spacing w:line="0" w:lineRule="atLeast"/>
      <w:jc w:val="center"/>
    </w:pPr>
    <w:rPr>
      <w:rFonts w:ascii="Arial" w:hAnsi="Arial" w:eastAsia="黑体"/>
      <w:sz w:val="52"/>
    </w:rPr>
  </w:style>
  <w:style w:type="paragraph" w:styleId="12">
    <w:name w:val="annotation subject"/>
    <w:basedOn w:val="2"/>
    <w:next w:val="2"/>
    <w:link w:val="23"/>
    <w:semiHidden/>
    <w:unhideWhenUsed/>
    <w:qFormat/>
    <w:uiPriority w:val="99"/>
    <w:rPr>
      <w:b/>
      <w:bCs/>
    </w:rPr>
  </w:style>
  <w:style w:type="paragraph" w:styleId="13">
    <w:name w:val="Body Text First Indent"/>
    <w:basedOn w:val="3"/>
    <w:qFormat/>
    <w:uiPriority w:val="0"/>
    <w:pPr>
      <w:spacing w:line="560" w:lineRule="exact"/>
      <w:ind w:firstLine="721" w:firstLineChars="200"/>
    </w:pPr>
    <w:rPr>
      <w:rFonts w:eastAsia="仿宋_GB2312"/>
      <w:sz w:val="32"/>
      <w:szCs w:val="22"/>
    </w:rPr>
  </w:style>
  <w:style w:type="table" w:styleId="15">
    <w:name w:val="Table Grid"/>
    <w:basedOn w:val="1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nhideWhenUsed/>
    <w:qFormat/>
    <w:uiPriority w:val="99"/>
    <w:rPr>
      <w:color w:val="0563C1" w:themeColor="hyperlink"/>
      <w:u w:val="single"/>
    </w:rPr>
  </w:style>
  <w:style w:type="character" w:styleId="18">
    <w:name w:val="annotation reference"/>
    <w:basedOn w:val="16"/>
    <w:semiHidden/>
    <w:unhideWhenUsed/>
    <w:qFormat/>
    <w:uiPriority w:val="0"/>
    <w:rPr>
      <w:sz w:val="21"/>
      <w:szCs w:val="21"/>
    </w:rPr>
  </w:style>
  <w:style w:type="character" w:styleId="19">
    <w:name w:val="footnote reference"/>
    <w:basedOn w:val="16"/>
    <w:semiHidden/>
    <w:unhideWhenUsed/>
    <w:qFormat/>
    <w:uiPriority w:val="99"/>
    <w:rPr>
      <w:vertAlign w:val="superscript"/>
    </w:rPr>
  </w:style>
  <w:style w:type="character" w:customStyle="1" w:styleId="20">
    <w:name w:val="页脚 Char"/>
    <w:basedOn w:val="16"/>
    <w:link w:val="5"/>
    <w:qFormat/>
    <w:uiPriority w:val="99"/>
    <w:rPr>
      <w:rFonts w:ascii="Times New Roman" w:hAnsi="Times New Roman" w:eastAsia="宋体" w:cs="Times New Roman"/>
      <w:sz w:val="18"/>
      <w:szCs w:val="20"/>
    </w:rPr>
  </w:style>
  <w:style w:type="character" w:customStyle="1" w:styleId="21">
    <w:name w:val="页眉 Char"/>
    <w:basedOn w:val="16"/>
    <w:link w:val="6"/>
    <w:qFormat/>
    <w:uiPriority w:val="99"/>
    <w:rPr>
      <w:rFonts w:ascii="Times New Roman" w:hAnsi="Times New Roman" w:eastAsia="宋体" w:cs="Times New Roman"/>
      <w:sz w:val="18"/>
      <w:szCs w:val="18"/>
    </w:rPr>
  </w:style>
  <w:style w:type="character" w:customStyle="1" w:styleId="22">
    <w:name w:val="批注文字 Char1"/>
    <w:basedOn w:val="16"/>
    <w:link w:val="2"/>
    <w:semiHidden/>
    <w:qFormat/>
    <w:uiPriority w:val="99"/>
    <w:rPr>
      <w:rFonts w:ascii="Times New Roman" w:hAnsi="Times New Roman" w:eastAsia="宋体" w:cs="Times New Roman"/>
      <w:szCs w:val="24"/>
    </w:rPr>
  </w:style>
  <w:style w:type="character" w:customStyle="1" w:styleId="23">
    <w:name w:val="批注主题 Char"/>
    <w:basedOn w:val="22"/>
    <w:link w:val="12"/>
    <w:semiHidden/>
    <w:qFormat/>
    <w:uiPriority w:val="99"/>
    <w:rPr>
      <w:rFonts w:ascii="Times New Roman" w:hAnsi="Times New Roman" w:eastAsia="宋体" w:cs="Times New Roman"/>
      <w:b/>
      <w:bCs/>
      <w:szCs w:val="24"/>
    </w:rPr>
  </w:style>
  <w:style w:type="character" w:customStyle="1" w:styleId="24">
    <w:name w:val="批注框文本 Char"/>
    <w:basedOn w:val="16"/>
    <w:link w:val="4"/>
    <w:semiHidden/>
    <w:qFormat/>
    <w:uiPriority w:val="99"/>
    <w:rPr>
      <w:rFonts w:ascii="Times New Roman" w:hAnsi="Times New Roman" w:eastAsia="宋体" w:cs="Times New Roman"/>
      <w:sz w:val="18"/>
      <w:szCs w:val="18"/>
    </w:rPr>
  </w:style>
  <w:style w:type="character" w:customStyle="1" w:styleId="25">
    <w:name w:val="批注文字 Char"/>
    <w:qFormat/>
    <w:uiPriority w:val="0"/>
    <w:rPr>
      <w:rFonts w:eastAsia="仿宋_GB2312"/>
      <w:kern w:val="2"/>
      <w:sz w:val="30"/>
      <w:szCs w:val="24"/>
    </w:rPr>
  </w:style>
  <w:style w:type="paragraph" w:customStyle="1" w:styleId="26">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7">
    <w:name w:val="脚注文本 Char"/>
    <w:basedOn w:val="16"/>
    <w:link w:val="8"/>
    <w:semiHidden/>
    <w:qFormat/>
    <w:uiPriority w:val="99"/>
    <w:rPr>
      <w:rFonts w:ascii="Times New Roman" w:hAnsi="Times New Roman" w:eastAsia="宋体" w:cs="Times New Roman"/>
      <w:sz w:val="18"/>
      <w:szCs w:val="18"/>
    </w:rPr>
  </w:style>
  <w:style w:type="character" w:customStyle="1" w:styleId="28">
    <w:name w:val="font31"/>
    <w:basedOn w:val="16"/>
    <w:qFormat/>
    <w:uiPriority w:val="0"/>
    <w:rPr>
      <w:rFonts w:hint="eastAsia" w:ascii="宋体" w:hAnsi="宋体" w:eastAsia="宋体"/>
      <w:color w:val="000000"/>
      <w:sz w:val="20"/>
      <w:szCs w:val="20"/>
      <w:u w:val="none"/>
    </w:rPr>
  </w:style>
  <w:style w:type="paragraph" w:customStyle="1" w:styleId="29">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0">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31">
    <w:name w:val="font11"/>
    <w:basedOn w:val="16"/>
    <w:qFormat/>
    <w:uiPriority w:val="0"/>
    <w:rPr>
      <w:rFonts w:hint="eastAsia" w:ascii="宋体" w:hAnsi="宋体" w:eastAsia="宋体"/>
      <w:b/>
      <w:bCs/>
      <w:color w:val="000000"/>
      <w:sz w:val="20"/>
      <w:szCs w:val="20"/>
      <w:u w:val="none"/>
    </w:rPr>
  </w:style>
  <w:style w:type="paragraph" w:customStyle="1" w:styleId="3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33">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34">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35">
    <w:name w:val="修订7"/>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23</Pages>
  <Words>2115</Words>
  <Characters>12056</Characters>
  <Lines>100</Lines>
  <Paragraphs>28</Paragraphs>
  <TotalTime>41</TotalTime>
  <ScaleCrop>false</ScaleCrop>
  <LinksUpToDate>false</LinksUpToDate>
  <CharactersWithSpaces>14143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2023-06-06T02:28:00Z</dcterms:created>
  <dc:creator>Administrator</dc:creator>
  <cp:lastModifiedBy>admin</cp:lastModifiedBy>
  <cp:lastPrinted>2023-05-27T05:25:00Z</cp:lastPrinted>
  <dcterms:modified xsi:type="dcterms:W3CDTF">2025-08-27T03:41:16Z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0D942355FF754A29A32F5A961188A009_13</vt:lpwstr>
  </property>
  <property fmtid="{D5CDD505-2E9C-101B-9397-08002B2CF9AE}" pid="4" name="KSOTemplateDocerSaveRecord">
    <vt:lpwstr>eyJoZGlkIjoiMzQwYWQwOWJjOGU5YTI1M2FmMTUzN2RmMTdiZjU4MmQiLCJ1c2VySWQiOiIxNDY5MTk2MjE4In0=</vt:lpwstr>
  </property>
</Properties>
</file>